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214" w:rsidRPr="009E64D0" w:rsidRDefault="009E64D0" w:rsidP="009E64D0">
      <w:pPr>
        <w:jc w:val="center"/>
        <w:rPr>
          <w:lang w:val="en-US"/>
        </w:rPr>
      </w:pPr>
      <w:bookmarkStart w:id="0" w:name="_GoBack"/>
      <w:bookmarkEnd w:id="0"/>
      <w:r w:rsidRPr="009E64D0">
        <w:rPr>
          <w:lang w:val="en-US"/>
        </w:rPr>
        <w:t>Criteria 5</w:t>
      </w:r>
    </w:p>
    <w:p w:rsidR="009E64D0" w:rsidRDefault="009E64D0" w:rsidP="009E64D0">
      <w:pPr>
        <w:rPr>
          <w:b/>
          <w:lang w:val="en-GB"/>
        </w:rPr>
      </w:pPr>
      <w:r>
        <w:rPr>
          <w:b/>
          <w:lang w:val="en-GB"/>
        </w:rPr>
        <w:t>Potential for economy of scale (need and potential for harmonisation within and outside CEPT)</w:t>
      </w:r>
    </w:p>
    <w:p w:rsidR="009E64D0" w:rsidRDefault="009E64D0" w:rsidP="009E64D0">
      <w:pPr>
        <w:rPr>
          <w:lang w:val="en-GB"/>
        </w:rPr>
      </w:pPr>
      <w:r>
        <w:rPr>
          <w:lang w:val="en-GB"/>
        </w:rPr>
        <w:t>For each application the size of the market shall be estimated taking into account the potential for CEPT wide or global harmonisation. The required level of harmonisation within and outside CEPT for each application should also be taken into account.</w:t>
      </w:r>
    </w:p>
    <w:p w:rsidR="009E64D0" w:rsidRDefault="00C02F5B" w:rsidP="009E64D0">
      <w:pPr>
        <w:rPr>
          <w:lang w:val="en-GB"/>
        </w:rPr>
      </w:pPr>
      <w:r>
        <w:rPr>
          <w:lang w:val="en-GB"/>
        </w:rPr>
        <w:t>Proposal from DG4 coordinator:</w:t>
      </w:r>
    </w:p>
    <w:p w:rsidR="009E64D0" w:rsidRDefault="009E64D0" w:rsidP="009E64D0">
      <w:pPr>
        <w:rPr>
          <w:u w:val="single"/>
          <w:lang w:val="en-GB"/>
        </w:rPr>
      </w:pPr>
      <w:proofErr w:type="spellStart"/>
      <w:r>
        <w:rPr>
          <w:u w:val="single"/>
          <w:lang w:val="en-GB"/>
        </w:rPr>
        <w:t>Subcriteria</w:t>
      </w:r>
      <w:proofErr w:type="spellEnd"/>
      <w:r>
        <w:rPr>
          <w:u w:val="single"/>
          <w:lang w:val="en-GB"/>
        </w:rPr>
        <w:t>:</w:t>
      </w:r>
    </w:p>
    <w:p w:rsidR="009E64D0" w:rsidRPr="00BC6879" w:rsidRDefault="00BC6879" w:rsidP="00BC6879">
      <w:pPr>
        <w:spacing w:after="0"/>
        <w:rPr>
          <w:lang w:val="en-GB"/>
        </w:rPr>
      </w:pPr>
      <w:r w:rsidRPr="00BC6879">
        <w:rPr>
          <w:lang w:val="en-GB"/>
        </w:rPr>
        <w:t>-</w:t>
      </w:r>
      <w:r>
        <w:rPr>
          <w:lang w:val="en-GB"/>
        </w:rPr>
        <w:t xml:space="preserve"> </w:t>
      </w:r>
      <w:r w:rsidR="009E64D0" w:rsidRPr="00BC6879">
        <w:rPr>
          <w:lang w:val="en-GB"/>
        </w:rPr>
        <w:t>Need for CEPT harmonisation</w:t>
      </w:r>
    </w:p>
    <w:p w:rsidR="009E64D0" w:rsidRPr="009E64D0" w:rsidRDefault="00BC6879" w:rsidP="00BC6879">
      <w:pPr>
        <w:spacing w:after="0"/>
        <w:rPr>
          <w:lang w:val="en-GB"/>
        </w:rPr>
      </w:pPr>
      <w:r>
        <w:rPr>
          <w:lang w:val="en-GB"/>
        </w:rPr>
        <w:t xml:space="preserve">- </w:t>
      </w:r>
      <w:r w:rsidR="00E83FF0">
        <w:rPr>
          <w:lang w:val="en-GB"/>
        </w:rPr>
        <w:t>[</w:t>
      </w:r>
      <w:r w:rsidR="009E64D0">
        <w:rPr>
          <w:lang w:val="en-GB"/>
        </w:rPr>
        <w:t>Need for global harmonisation</w:t>
      </w:r>
      <w:r w:rsidR="00E83FF0">
        <w:rPr>
          <w:lang w:val="en-GB"/>
        </w:rPr>
        <w:t>] this may not be relevant?</w:t>
      </w:r>
    </w:p>
    <w:p w:rsidR="009E64D0" w:rsidRDefault="00BC6879" w:rsidP="00BC6879">
      <w:pPr>
        <w:spacing w:after="0"/>
        <w:rPr>
          <w:lang w:val="en-GB"/>
        </w:rPr>
      </w:pPr>
      <w:r>
        <w:rPr>
          <w:lang w:val="en-GB"/>
        </w:rPr>
        <w:t xml:space="preserve">- </w:t>
      </w:r>
      <w:r w:rsidR="009E64D0">
        <w:rPr>
          <w:lang w:val="en-GB"/>
        </w:rPr>
        <w:t>Poten</w:t>
      </w:r>
      <w:r w:rsidR="00C02F5B">
        <w:rPr>
          <w:lang w:val="en-GB"/>
        </w:rPr>
        <w:t>tial for CEPT harmonisation</w:t>
      </w:r>
    </w:p>
    <w:p w:rsidR="009E64D0" w:rsidRDefault="00BC6879" w:rsidP="00BC6879">
      <w:pPr>
        <w:spacing w:after="0"/>
        <w:rPr>
          <w:lang w:val="en-GB"/>
        </w:rPr>
      </w:pPr>
      <w:r>
        <w:rPr>
          <w:lang w:val="en-GB"/>
        </w:rPr>
        <w:t xml:space="preserve">- </w:t>
      </w:r>
      <w:r w:rsidR="009E64D0">
        <w:rPr>
          <w:lang w:val="en-GB"/>
        </w:rPr>
        <w:t>Potential for global harmonisation</w:t>
      </w:r>
    </w:p>
    <w:p w:rsidR="009E64D0" w:rsidRDefault="00BC6879" w:rsidP="00BC6879">
      <w:pPr>
        <w:spacing w:after="0"/>
        <w:rPr>
          <w:lang w:val="en-GB"/>
        </w:rPr>
      </w:pPr>
      <w:r>
        <w:rPr>
          <w:lang w:val="en-GB"/>
        </w:rPr>
        <w:t xml:space="preserve">- </w:t>
      </w:r>
      <w:r w:rsidR="009E64D0">
        <w:rPr>
          <w:lang w:val="en-GB"/>
        </w:rPr>
        <w:t xml:space="preserve">Size of CEPT market </w:t>
      </w:r>
    </w:p>
    <w:p w:rsidR="009E64D0" w:rsidRDefault="00BC6879" w:rsidP="00BC6879">
      <w:pPr>
        <w:spacing w:after="0"/>
        <w:rPr>
          <w:lang w:val="en-GB"/>
        </w:rPr>
      </w:pPr>
      <w:r>
        <w:rPr>
          <w:lang w:val="en-GB"/>
        </w:rPr>
        <w:t xml:space="preserve">- </w:t>
      </w:r>
      <w:r w:rsidR="009E64D0">
        <w:rPr>
          <w:lang w:val="en-GB"/>
        </w:rPr>
        <w:t>Size of global market</w:t>
      </w:r>
    </w:p>
    <w:p w:rsidR="00BC6879" w:rsidRDefault="00BC6879" w:rsidP="00BC6879">
      <w:pPr>
        <w:spacing w:after="0"/>
        <w:rPr>
          <w:lang w:val="en-GB"/>
        </w:rPr>
      </w:pPr>
    </w:p>
    <w:p w:rsidR="009E64D0" w:rsidRDefault="00C02F5B" w:rsidP="009E64D0">
      <w:pPr>
        <w:rPr>
          <w:lang w:val="en-GB"/>
        </w:rPr>
      </w:pPr>
      <w:r>
        <w:rPr>
          <w:lang w:val="en-GB"/>
        </w:rPr>
        <w:t>Comment Received on the forum from Germany (in italic):</w:t>
      </w:r>
    </w:p>
    <w:p w:rsidR="00C02F5B" w:rsidRPr="00C02F5B" w:rsidRDefault="00C02F5B" w:rsidP="009E64D0">
      <w:pPr>
        <w:rPr>
          <w:i/>
          <w:lang w:val="en-GB"/>
        </w:rPr>
      </w:pPr>
      <w:r w:rsidRPr="00C02F5B">
        <w:rPr>
          <w:rFonts w:ascii="Arial" w:hAnsi="Arial" w:cs="Arial"/>
          <w:i/>
          <w:color w:val="000000"/>
          <w:sz w:val="20"/>
          <w:szCs w:val="20"/>
          <w:lang w:val="en"/>
        </w:rPr>
        <w:t>T</w:t>
      </w:r>
      <w:r w:rsidRPr="00C02F5B">
        <w:rPr>
          <w:rFonts w:ascii="Arial" w:hAnsi="Arial" w:cs="Arial"/>
          <w:i/>
          <w:color w:val="000000"/>
          <w:sz w:val="20"/>
          <w:szCs w:val="20"/>
          <w:lang w:val="en"/>
        </w:rPr>
        <w:t xml:space="preserve">he first sentence of the description of the criterion “For each application the size of the market shall be estimated taking into account the potential for CEPT wide or global </w:t>
      </w:r>
      <w:proofErr w:type="spellStart"/>
      <w:r w:rsidRPr="00C02F5B">
        <w:rPr>
          <w:rFonts w:ascii="Arial" w:hAnsi="Arial" w:cs="Arial"/>
          <w:i/>
          <w:color w:val="000000"/>
          <w:sz w:val="20"/>
          <w:szCs w:val="20"/>
          <w:lang w:val="en"/>
        </w:rPr>
        <w:t>harmonisation</w:t>
      </w:r>
      <w:proofErr w:type="spellEnd"/>
      <w:r w:rsidRPr="00C02F5B">
        <w:rPr>
          <w:rFonts w:ascii="Arial" w:hAnsi="Arial" w:cs="Arial"/>
          <w:i/>
          <w:color w:val="000000"/>
          <w:sz w:val="20"/>
          <w:szCs w:val="20"/>
          <w:lang w:val="en"/>
        </w:rPr>
        <w:t xml:space="preserve">.” indicates that the size of the market might be the relevant indicator to assess the potential for </w:t>
      </w:r>
      <w:proofErr w:type="spellStart"/>
      <w:r w:rsidRPr="00C02F5B">
        <w:rPr>
          <w:rFonts w:ascii="Arial" w:hAnsi="Arial" w:cs="Arial"/>
          <w:i/>
          <w:color w:val="000000"/>
          <w:sz w:val="20"/>
          <w:szCs w:val="20"/>
          <w:lang w:val="en"/>
        </w:rPr>
        <w:t>harmonisation</w:t>
      </w:r>
      <w:proofErr w:type="spellEnd"/>
      <w:r w:rsidRPr="00C02F5B">
        <w:rPr>
          <w:rFonts w:ascii="Arial" w:hAnsi="Arial" w:cs="Arial"/>
          <w:i/>
          <w:color w:val="000000"/>
          <w:sz w:val="20"/>
          <w:szCs w:val="20"/>
          <w:lang w:val="en"/>
        </w:rPr>
        <w:t xml:space="preserve">. With the sub-criteria currently proposed it seems that “market size” and “potential for </w:t>
      </w:r>
      <w:proofErr w:type="spellStart"/>
      <w:r w:rsidRPr="00C02F5B">
        <w:rPr>
          <w:rFonts w:ascii="Arial" w:hAnsi="Arial" w:cs="Arial"/>
          <w:i/>
          <w:color w:val="000000"/>
          <w:sz w:val="20"/>
          <w:szCs w:val="20"/>
          <w:lang w:val="en"/>
        </w:rPr>
        <w:t>harmonisation</w:t>
      </w:r>
      <w:proofErr w:type="spellEnd"/>
      <w:r w:rsidRPr="00C02F5B">
        <w:rPr>
          <w:rFonts w:ascii="Arial" w:hAnsi="Arial" w:cs="Arial"/>
          <w:i/>
          <w:color w:val="000000"/>
          <w:sz w:val="20"/>
          <w:szCs w:val="20"/>
          <w:lang w:val="en"/>
        </w:rPr>
        <w:t xml:space="preserve">” would be separate aspects. For the time being, I cannot image what other aspects might bear a potential for </w:t>
      </w:r>
      <w:proofErr w:type="spellStart"/>
      <w:r w:rsidRPr="00C02F5B">
        <w:rPr>
          <w:rFonts w:ascii="Arial" w:hAnsi="Arial" w:cs="Arial"/>
          <w:i/>
          <w:color w:val="000000"/>
          <w:sz w:val="20"/>
          <w:szCs w:val="20"/>
          <w:lang w:val="en"/>
        </w:rPr>
        <w:t>harmonisation</w:t>
      </w:r>
      <w:proofErr w:type="spellEnd"/>
      <w:r w:rsidRPr="00C02F5B">
        <w:rPr>
          <w:rFonts w:ascii="Arial" w:hAnsi="Arial" w:cs="Arial"/>
          <w:i/>
          <w:color w:val="000000"/>
          <w:sz w:val="20"/>
          <w:szCs w:val="20"/>
          <w:lang w:val="en"/>
        </w:rPr>
        <w:t xml:space="preserve"> not already covered by “market size” or by “economic benefits”. (But, as mentioned above, the latter is already considered within criterion 3 and cannot be duplicated herein.)</w:t>
      </w:r>
    </w:p>
    <w:p w:rsidR="00C02F5B" w:rsidRDefault="00C02F5B" w:rsidP="009E64D0">
      <w:pPr>
        <w:rPr>
          <w:rFonts w:ascii="Arial" w:hAnsi="Arial" w:cs="Arial"/>
          <w:i/>
          <w:color w:val="000000"/>
          <w:sz w:val="20"/>
          <w:szCs w:val="20"/>
          <w:lang w:val="en"/>
        </w:rPr>
      </w:pPr>
      <w:r w:rsidRPr="00C02F5B">
        <w:rPr>
          <w:rFonts w:ascii="Arial" w:hAnsi="Arial" w:cs="Arial"/>
          <w:i/>
          <w:color w:val="000000"/>
          <w:sz w:val="20"/>
          <w:szCs w:val="20"/>
          <w:lang w:val="en"/>
        </w:rPr>
        <w:t xml:space="preserve">Regarding </w:t>
      </w:r>
      <w:r w:rsidRPr="00C02F5B">
        <w:rPr>
          <w:rFonts w:ascii="Arial" w:hAnsi="Arial" w:cs="Arial"/>
          <w:i/>
          <w:color w:val="000000"/>
          <w:sz w:val="20"/>
          <w:szCs w:val="20"/>
          <w:lang w:val="en"/>
        </w:rPr>
        <w:t>[the]</w:t>
      </w:r>
      <w:r w:rsidRPr="00C02F5B">
        <w:rPr>
          <w:rFonts w:ascii="Arial" w:hAnsi="Arial" w:cs="Arial"/>
          <w:i/>
          <w:color w:val="000000"/>
          <w:sz w:val="20"/>
          <w:szCs w:val="20"/>
          <w:lang w:val="en"/>
        </w:rPr>
        <w:t xml:space="preserve"> question</w:t>
      </w:r>
      <w:r w:rsidRPr="00C02F5B">
        <w:rPr>
          <w:rFonts w:ascii="Arial" w:hAnsi="Arial" w:cs="Arial"/>
          <w:i/>
          <w:color w:val="000000"/>
          <w:sz w:val="20"/>
          <w:szCs w:val="20"/>
          <w:lang w:val="en"/>
        </w:rPr>
        <w:t xml:space="preserve"> </w:t>
      </w:r>
      <w:r w:rsidRPr="00C02F5B">
        <w:rPr>
          <w:rFonts w:ascii="Arial" w:hAnsi="Arial" w:cs="Arial"/>
          <w:i/>
          <w:color w:val="000000"/>
          <w:sz w:val="20"/>
          <w:szCs w:val="20"/>
          <w:lang w:val="en"/>
        </w:rPr>
        <w:t xml:space="preserve">of the relevance of the sub-criterion </w:t>
      </w:r>
      <w:r w:rsidRPr="00C02F5B">
        <w:rPr>
          <w:rFonts w:ascii="Arial" w:hAnsi="Arial" w:cs="Arial"/>
          <w:i/>
          <w:iCs/>
          <w:color w:val="000000"/>
          <w:sz w:val="20"/>
          <w:szCs w:val="20"/>
          <w:lang w:val="en"/>
        </w:rPr>
        <w:t xml:space="preserve">[Need for global </w:t>
      </w:r>
      <w:proofErr w:type="spellStart"/>
      <w:r w:rsidRPr="00C02F5B">
        <w:rPr>
          <w:rFonts w:ascii="Arial" w:hAnsi="Arial" w:cs="Arial"/>
          <w:i/>
          <w:iCs/>
          <w:color w:val="000000"/>
          <w:sz w:val="20"/>
          <w:szCs w:val="20"/>
          <w:lang w:val="en"/>
        </w:rPr>
        <w:t>harmonisation</w:t>
      </w:r>
      <w:proofErr w:type="spellEnd"/>
      <w:r w:rsidRPr="00C02F5B">
        <w:rPr>
          <w:rFonts w:ascii="Arial" w:hAnsi="Arial" w:cs="Arial"/>
          <w:i/>
          <w:iCs/>
          <w:color w:val="000000"/>
          <w:sz w:val="20"/>
          <w:szCs w:val="20"/>
          <w:lang w:val="en"/>
        </w:rPr>
        <w:t>]</w:t>
      </w:r>
      <w:r w:rsidRPr="00C02F5B">
        <w:rPr>
          <w:rFonts w:ascii="Arial" w:hAnsi="Arial" w:cs="Arial"/>
          <w:i/>
          <w:color w:val="000000"/>
          <w:sz w:val="20"/>
          <w:szCs w:val="20"/>
          <w:lang w:val="en"/>
        </w:rPr>
        <w:t xml:space="preserve">, from my point of view “need and potential for </w:t>
      </w:r>
      <w:proofErr w:type="spellStart"/>
      <w:r w:rsidRPr="00C02F5B">
        <w:rPr>
          <w:rFonts w:ascii="Arial" w:hAnsi="Arial" w:cs="Arial"/>
          <w:i/>
          <w:color w:val="000000"/>
          <w:sz w:val="20"/>
          <w:szCs w:val="20"/>
          <w:lang w:val="en"/>
        </w:rPr>
        <w:t>harmonisation</w:t>
      </w:r>
      <w:proofErr w:type="spellEnd"/>
      <w:r w:rsidRPr="00C02F5B">
        <w:rPr>
          <w:rFonts w:ascii="Arial" w:hAnsi="Arial" w:cs="Arial"/>
          <w:i/>
          <w:color w:val="000000"/>
          <w:sz w:val="20"/>
          <w:szCs w:val="20"/>
          <w:lang w:val="en"/>
        </w:rPr>
        <w:t xml:space="preserve">” are two sides of the same coin –at CEPT level as well as globally-. And, more formally seen, the aspect “need for global </w:t>
      </w:r>
      <w:proofErr w:type="spellStart"/>
      <w:r w:rsidRPr="00C02F5B">
        <w:rPr>
          <w:rFonts w:ascii="Arial" w:hAnsi="Arial" w:cs="Arial"/>
          <w:i/>
          <w:color w:val="000000"/>
          <w:sz w:val="20"/>
          <w:szCs w:val="20"/>
          <w:lang w:val="en"/>
        </w:rPr>
        <w:t>harmonisation</w:t>
      </w:r>
      <w:proofErr w:type="spellEnd"/>
      <w:r w:rsidRPr="00C02F5B">
        <w:rPr>
          <w:rFonts w:ascii="Arial" w:hAnsi="Arial" w:cs="Arial"/>
          <w:i/>
          <w:color w:val="000000"/>
          <w:sz w:val="20"/>
          <w:szCs w:val="20"/>
          <w:lang w:val="en"/>
        </w:rPr>
        <w:t xml:space="preserve">” is part of our task as the criterion itself is fully named “Potential for economy of scale (need and potential for </w:t>
      </w:r>
      <w:proofErr w:type="spellStart"/>
      <w:r w:rsidRPr="00C02F5B">
        <w:rPr>
          <w:rFonts w:ascii="Arial" w:hAnsi="Arial" w:cs="Arial"/>
          <w:i/>
          <w:color w:val="000000"/>
          <w:sz w:val="20"/>
          <w:szCs w:val="20"/>
          <w:lang w:val="en"/>
        </w:rPr>
        <w:t>harmonisation</w:t>
      </w:r>
      <w:proofErr w:type="spellEnd"/>
      <w:r w:rsidRPr="00C02F5B">
        <w:rPr>
          <w:rFonts w:ascii="Arial" w:hAnsi="Arial" w:cs="Arial"/>
          <w:i/>
          <w:color w:val="000000"/>
          <w:sz w:val="20"/>
          <w:szCs w:val="20"/>
          <w:lang w:val="en"/>
        </w:rPr>
        <w:t xml:space="preserve"> within and outside CEPT)”. Further, the second sentence of the description of the criterion (“The required level of </w:t>
      </w:r>
      <w:proofErr w:type="spellStart"/>
      <w:r w:rsidRPr="00C02F5B">
        <w:rPr>
          <w:rFonts w:ascii="Arial" w:hAnsi="Arial" w:cs="Arial"/>
          <w:i/>
          <w:color w:val="000000"/>
          <w:sz w:val="20"/>
          <w:szCs w:val="20"/>
          <w:lang w:val="en"/>
        </w:rPr>
        <w:t>harmonisation</w:t>
      </w:r>
      <w:proofErr w:type="spellEnd"/>
      <w:r w:rsidRPr="00C02F5B">
        <w:rPr>
          <w:rFonts w:ascii="Arial" w:hAnsi="Arial" w:cs="Arial"/>
          <w:i/>
          <w:color w:val="000000"/>
          <w:sz w:val="20"/>
          <w:szCs w:val="20"/>
          <w:lang w:val="en"/>
        </w:rPr>
        <w:t xml:space="preserve"> within and outside CEPT for each application should also be taken into account.”) underlines the relevance (and provides additionally the possibility of a nuanced approach).</w:t>
      </w:r>
    </w:p>
    <w:p w:rsidR="00BC6879" w:rsidRDefault="00BC6879" w:rsidP="009E64D0">
      <w:pPr>
        <w:rPr>
          <w:rFonts w:ascii="Arial" w:hAnsi="Arial" w:cs="Arial"/>
          <w:color w:val="000000"/>
          <w:sz w:val="20"/>
          <w:szCs w:val="20"/>
          <w:lang w:val="en"/>
        </w:rPr>
      </w:pPr>
      <w:r>
        <w:rPr>
          <w:rFonts w:ascii="Arial" w:hAnsi="Arial" w:cs="Arial"/>
          <w:color w:val="000000"/>
          <w:sz w:val="20"/>
          <w:szCs w:val="20"/>
          <w:lang w:val="en"/>
        </w:rPr>
        <w:t>Additional comment on the need to avoid overlap between criteria 3 (economic and social benefits) and criteria 5:</w:t>
      </w:r>
    </w:p>
    <w:p w:rsidR="00BC6879" w:rsidRPr="00BC6879" w:rsidRDefault="00BC6879" w:rsidP="009E64D0">
      <w:pPr>
        <w:rPr>
          <w:rFonts w:ascii="Arial" w:hAnsi="Arial" w:cs="Arial"/>
          <w:i/>
          <w:color w:val="000000"/>
          <w:sz w:val="20"/>
          <w:szCs w:val="20"/>
          <w:lang w:val="en"/>
        </w:rPr>
      </w:pPr>
      <w:r w:rsidRPr="00BC6879">
        <w:rPr>
          <w:rFonts w:ascii="Arial" w:hAnsi="Arial" w:cs="Arial"/>
          <w:i/>
          <w:color w:val="000000"/>
          <w:sz w:val="20"/>
          <w:szCs w:val="20"/>
          <w:lang w:val="en"/>
        </w:rPr>
        <w:t>At the last meeting in Mainz we came to the mutual understanding not to take aspects into account more than once. That means with respect of this discussion path/the drafting activity for criterion 5, we have to ensure, that aspects already under consideration in particular within the criterion 3 “social &amp; economic benefits” will not be considered again here within criterion 5. As there is no discussion path for the criterion 3 on the “social &amp; economic benefits”, all information currently available with regard to criterion 3 is contained in doc FM50(11)078 Annex 8 (minutes of the Helsinki meeting), if I am right. Already a first rush through that document shows that market size and related aspects are included in the texts for criterion 3. Perhaps, the challenge to avoid merging criterion 3 and 5 might be solved by a parallel discussion path for that criterion too.</w:t>
      </w:r>
    </w:p>
    <w:p w:rsidR="00BC6879" w:rsidRDefault="00BC6879" w:rsidP="009E64D0">
      <w:pPr>
        <w:rPr>
          <w:i/>
          <w:lang w:val="en-GB"/>
        </w:rPr>
      </w:pPr>
    </w:p>
    <w:p w:rsidR="00BC6879" w:rsidRPr="00BC6879" w:rsidRDefault="00BC6879" w:rsidP="009E64D0">
      <w:pPr>
        <w:rPr>
          <w:lang w:val="en-GB"/>
        </w:rPr>
      </w:pPr>
      <w:r>
        <w:rPr>
          <w:lang w:val="en-GB"/>
        </w:rPr>
        <w:lastRenderedPageBreak/>
        <w:t>Proposal from DG4 coordinator simply as a basis for discussion noting that there was no time for proper discussion on the forum:</w:t>
      </w:r>
    </w:p>
    <w:tbl>
      <w:tblPr>
        <w:tblStyle w:val="Grilledutableau"/>
        <w:tblW w:w="0" w:type="auto"/>
        <w:tblLook w:val="04A0" w:firstRow="1" w:lastRow="0" w:firstColumn="1" w:lastColumn="0" w:noHBand="0" w:noVBand="1"/>
      </w:tblPr>
      <w:tblGrid>
        <w:gridCol w:w="3227"/>
        <w:gridCol w:w="5985"/>
      </w:tblGrid>
      <w:tr w:rsidR="009E64D0" w:rsidTr="0071651C">
        <w:tc>
          <w:tcPr>
            <w:tcW w:w="3227" w:type="dxa"/>
          </w:tcPr>
          <w:p w:rsidR="009E64D0" w:rsidRDefault="009E64D0" w:rsidP="009E64D0">
            <w:pPr>
              <w:rPr>
                <w:lang w:val="en-GB"/>
              </w:rPr>
            </w:pPr>
          </w:p>
        </w:tc>
        <w:tc>
          <w:tcPr>
            <w:tcW w:w="5985" w:type="dxa"/>
          </w:tcPr>
          <w:p w:rsidR="009E64D0" w:rsidRDefault="009E64D0" w:rsidP="009E64D0">
            <w:pPr>
              <w:rPr>
                <w:lang w:val="en-GB"/>
              </w:rPr>
            </w:pPr>
            <w:r>
              <w:rPr>
                <w:lang w:val="en-GB"/>
              </w:rPr>
              <w:t>Terrestrial broadcasting</w:t>
            </w:r>
          </w:p>
        </w:tc>
      </w:tr>
      <w:tr w:rsidR="009E64D0" w:rsidTr="0071651C">
        <w:tc>
          <w:tcPr>
            <w:tcW w:w="3227" w:type="dxa"/>
          </w:tcPr>
          <w:p w:rsidR="009E64D0" w:rsidRDefault="009E64D0" w:rsidP="009E64D0">
            <w:pPr>
              <w:rPr>
                <w:lang w:val="en-GB"/>
              </w:rPr>
            </w:pPr>
            <w:r>
              <w:rPr>
                <w:lang w:val="en-GB"/>
              </w:rPr>
              <w:t>Need for CEPT harmonisation</w:t>
            </w:r>
          </w:p>
        </w:tc>
        <w:tc>
          <w:tcPr>
            <w:tcW w:w="5985" w:type="dxa"/>
          </w:tcPr>
          <w:p w:rsidR="009E64D0" w:rsidRDefault="009E64D0" w:rsidP="009E64D0">
            <w:pPr>
              <w:rPr>
                <w:lang w:val="en-GB"/>
              </w:rPr>
            </w:pPr>
            <w:r>
              <w:rPr>
                <w:lang w:val="en-GB"/>
              </w:rPr>
              <w:t>No</w:t>
            </w:r>
          </w:p>
        </w:tc>
      </w:tr>
      <w:tr w:rsidR="009E64D0" w:rsidTr="0071651C">
        <w:tc>
          <w:tcPr>
            <w:tcW w:w="3227" w:type="dxa"/>
          </w:tcPr>
          <w:p w:rsidR="009E64D0" w:rsidRDefault="009E64D0" w:rsidP="009E64D0">
            <w:pPr>
              <w:rPr>
                <w:lang w:val="en-GB"/>
              </w:rPr>
            </w:pPr>
            <w:r>
              <w:rPr>
                <w:lang w:val="en-GB"/>
              </w:rPr>
              <w:t>Need for global harmonisation</w:t>
            </w:r>
          </w:p>
        </w:tc>
        <w:tc>
          <w:tcPr>
            <w:tcW w:w="5985" w:type="dxa"/>
          </w:tcPr>
          <w:p w:rsidR="009E64D0" w:rsidRDefault="009E64D0" w:rsidP="009E64D0">
            <w:pPr>
              <w:rPr>
                <w:lang w:val="en-GB"/>
              </w:rPr>
            </w:pPr>
            <w:r>
              <w:rPr>
                <w:lang w:val="en-GB"/>
              </w:rPr>
              <w:t>No</w:t>
            </w:r>
          </w:p>
        </w:tc>
      </w:tr>
      <w:tr w:rsidR="009E64D0" w:rsidRPr="00C02F5B" w:rsidTr="0071651C">
        <w:tc>
          <w:tcPr>
            <w:tcW w:w="3227" w:type="dxa"/>
          </w:tcPr>
          <w:p w:rsidR="009E64D0" w:rsidRDefault="009E64D0" w:rsidP="009E64D0">
            <w:pPr>
              <w:rPr>
                <w:lang w:val="en-GB"/>
              </w:rPr>
            </w:pPr>
            <w:r>
              <w:rPr>
                <w:lang w:val="en-GB"/>
              </w:rPr>
              <w:t>Potential for CEPT harmonisation</w:t>
            </w:r>
          </w:p>
        </w:tc>
        <w:tc>
          <w:tcPr>
            <w:tcW w:w="5985" w:type="dxa"/>
          </w:tcPr>
          <w:p w:rsidR="009E64D0" w:rsidRDefault="00E83FF0" w:rsidP="009E64D0">
            <w:pPr>
              <w:rPr>
                <w:lang w:val="en-GB"/>
              </w:rPr>
            </w:pPr>
            <w:r>
              <w:rPr>
                <w:lang w:val="en-GB"/>
              </w:rPr>
              <w:t>[x]</w:t>
            </w:r>
            <w:r w:rsidR="009E64D0">
              <w:rPr>
                <w:lang w:val="en-GB"/>
              </w:rPr>
              <w:t xml:space="preserve"> countries deploy this application although the possibility for CEPT wide harmonisation </w:t>
            </w:r>
            <w:r>
              <w:rPr>
                <w:lang w:val="en-GB"/>
              </w:rPr>
              <w:t xml:space="preserve">already </w:t>
            </w:r>
            <w:r w:rsidR="009E64D0">
              <w:rPr>
                <w:lang w:val="en-GB"/>
              </w:rPr>
              <w:t>exists</w:t>
            </w:r>
          </w:p>
        </w:tc>
      </w:tr>
      <w:tr w:rsidR="009E64D0" w:rsidTr="0071651C">
        <w:tc>
          <w:tcPr>
            <w:tcW w:w="3227" w:type="dxa"/>
          </w:tcPr>
          <w:p w:rsidR="009E64D0" w:rsidRDefault="009E64D0" w:rsidP="009E64D0">
            <w:pPr>
              <w:rPr>
                <w:lang w:val="en-GB"/>
              </w:rPr>
            </w:pPr>
            <w:r>
              <w:rPr>
                <w:lang w:val="en-GB"/>
              </w:rPr>
              <w:t>Potential for global harmonisation</w:t>
            </w:r>
          </w:p>
        </w:tc>
        <w:tc>
          <w:tcPr>
            <w:tcW w:w="5985" w:type="dxa"/>
          </w:tcPr>
          <w:p w:rsidR="009E64D0" w:rsidRDefault="009E64D0" w:rsidP="009E64D0">
            <w:pPr>
              <w:rPr>
                <w:lang w:val="en-GB"/>
              </w:rPr>
            </w:pPr>
            <w:r>
              <w:rPr>
                <w:lang w:val="en-GB"/>
              </w:rPr>
              <w:t>No</w:t>
            </w:r>
          </w:p>
        </w:tc>
      </w:tr>
      <w:tr w:rsidR="009E64D0" w:rsidTr="0071651C">
        <w:tc>
          <w:tcPr>
            <w:tcW w:w="3227" w:type="dxa"/>
          </w:tcPr>
          <w:p w:rsidR="009E64D0" w:rsidRDefault="009E64D0" w:rsidP="009E64D0">
            <w:pPr>
              <w:rPr>
                <w:lang w:val="en-GB"/>
              </w:rPr>
            </w:pPr>
            <w:r>
              <w:rPr>
                <w:lang w:val="en-GB"/>
              </w:rPr>
              <w:t>Size of CEPT market</w:t>
            </w:r>
          </w:p>
        </w:tc>
        <w:tc>
          <w:tcPr>
            <w:tcW w:w="5985" w:type="dxa"/>
          </w:tcPr>
          <w:p w:rsidR="009E64D0" w:rsidRDefault="009E64D0" w:rsidP="009E64D0">
            <w:pPr>
              <w:rPr>
                <w:lang w:val="en-GB"/>
              </w:rPr>
            </w:pPr>
            <w:r>
              <w:rPr>
                <w:lang w:val="en-GB"/>
              </w:rPr>
              <w:t>?</w:t>
            </w:r>
          </w:p>
        </w:tc>
      </w:tr>
      <w:tr w:rsidR="009E64D0" w:rsidTr="0071651C">
        <w:tc>
          <w:tcPr>
            <w:tcW w:w="3227" w:type="dxa"/>
          </w:tcPr>
          <w:p w:rsidR="009E64D0" w:rsidRDefault="009E64D0" w:rsidP="009E64D0">
            <w:pPr>
              <w:rPr>
                <w:lang w:val="en-GB"/>
              </w:rPr>
            </w:pPr>
            <w:r>
              <w:rPr>
                <w:lang w:val="en-GB"/>
              </w:rPr>
              <w:t>Size of global market</w:t>
            </w:r>
          </w:p>
        </w:tc>
        <w:tc>
          <w:tcPr>
            <w:tcW w:w="5985" w:type="dxa"/>
          </w:tcPr>
          <w:p w:rsidR="009E64D0" w:rsidRDefault="009E64D0" w:rsidP="009E64D0">
            <w:pPr>
              <w:rPr>
                <w:lang w:val="en-GB"/>
              </w:rPr>
            </w:pPr>
            <w:r>
              <w:rPr>
                <w:lang w:val="en-GB"/>
              </w:rPr>
              <w:t>?</w:t>
            </w:r>
          </w:p>
        </w:tc>
      </w:tr>
    </w:tbl>
    <w:p w:rsidR="009E64D0" w:rsidRDefault="009E64D0" w:rsidP="009E64D0">
      <w:pPr>
        <w:rPr>
          <w:lang w:val="en-GB"/>
        </w:rPr>
      </w:pPr>
    </w:p>
    <w:tbl>
      <w:tblPr>
        <w:tblStyle w:val="Grilledutableau"/>
        <w:tblW w:w="0" w:type="auto"/>
        <w:tblLook w:val="04A0" w:firstRow="1" w:lastRow="0" w:firstColumn="1" w:lastColumn="0" w:noHBand="0" w:noVBand="1"/>
      </w:tblPr>
      <w:tblGrid>
        <w:gridCol w:w="3227"/>
        <w:gridCol w:w="5985"/>
      </w:tblGrid>
      <w:tr w:rsidR="009E64D0" w:rsidTr="0071651C">
        <w:tc>
          <w:tcPr>
            <w:tcW w:w="3227" w:type="dxa"/>
          </w:tcPr>
          <w:p w:rsidR="009E64D0" w:rsidRDefault="009E64D0" w:rsidP="00476602">
            <w:pPr>
              <w:rPr>
                <w:lang w:val="en-GB"/>
              </w:rPr>
            </w:pPr>
          </w:p>
        </w:tc>
        <w:tc>
          <w:tcPr>
            <w:tcW w:w="5985" w:type="dxa"/>
          </w:tcPr>
          <w:p w:rsidR="009E64D0" w:rsidRDefault="00935B29" w:rsidP="00476602">
            <w:pPr>
              <w:rPr>
                <w:lang w:val="en-GB"/>
              </w:rPr>
            </w:pPr>
            <w:r>
              <w:rPr>
                <w:lang w:val="en-GB"/>
              </w:rPr>
              <w:t>Mobile broadband</w:t>
            </w:r>
          </w:p>
        </w:tc>
      </w:tr>
      <w:tr w:rsidR="009E64D0" w:rsidTr="0071651C">
        <w:tc>
          <w:tcPr>
            <w:tcW w:w="3227" w:type="dxa"/>
          </w:tcPr>
          <w:p w:rsidR="009E64D0" w:rsidRDefault="009E64D0" w:rsidP="00476602">
            <w:pPr>
              <w:rPr>
                <w:lang w:val="en-GB"/>
              </w:rPr>
            </w:pPr>
            <w:r>
              <w:rPr>
                <w:lang w:val="en-GB"/>
              </w:rPr>
              <w:t>Need for CEPT harmonisation</w:t>
            </w:r>
          </w:p>
        </w:tc>
        <w:tc>
          <w:tcPr>
            <w:tcW w:w="5985" w:type="dxa"/>
          </w:tcPr>
          <w:p w:rsidR="009E64D0" w:rsidRDefault="00935B29" w:rsidP="00476602">
            <w:pPr>
              <w:rPr>
                <w:lang w:val="en-GB"/>
              </w:rPr>
            </w:pPr>
            <w:r>
              <w:rPr>
                <w:lang w:val="en-GB"/>
              </w:rPr>
              <w:t>?</w:t>
            </w:r>
          </w:p>
        </w:tc>
      </w:tr>
      <w:tr w:rsidR="009E64D0" w:rsidTr="0071651C">
        <w:tc>
          <w:tcPr>
            <w:tcW w:w="3227" w:type="dxa"/>
          </w:tcPr>
          <w:p w:rsidR="009E64D0" w:rsidRDefault="009E64D0" w:rsidP="00476602">
            <w:pPr>
              <w:rPr>
                <w:lang w:val="en-GB"/>
              </w:rPr>
            </w:pPr>
            <w:r>
              <w:rPr>
                <w:lang w:val="en-GB"/>
              </w:rPr>
              <w:t>Need for global harmonisation</w:t>
            </w:r>
          </w:p>
        </w:tc>
        <w:tc>
          <w:tcPr>
            <w:tcW w:w="5985" w:type="dxa"/>
          </w:tcPr>
          <w:p w:rsidR="009E64D0" w:rsidRDefault="00935B29" w:rsidP="00476602">
            <w:pPr>
              <w:rPr>
                <w:lang w:val="en-GB"/>
              </w:rPr>
            </w:pPr>
            <w:r>
              <w:rPr>
                <w:lang w:val="en-GB"/>
              </w:rPr>
              <w:t>No</w:t>
            </w:r>
          </w:p>
        </w:tc>
      </w:tr>
      <w:tr w:rsidR="009E64D0" w:rsidTr="0071651C">
        <w:tc>
          <w:tcPr>
            <w:tcW w:w="3227" w:type="dxa"/>
          </w:tcPr>
          <w:p w:rsidR="009E64D0" w:rsidRDefault="009E64D0" w:rsidP="00476602">
            <w:pPr>
              <w:rPr>
                <w:lang w:val="en-GB"/>
              </w:rPr>
            </w:pPr>
            <w:r>
              <w:rPr>
                <w:lang w:val="en-GB"/>
              </w:rPr>
              <w:t>Potential for CEPT harmonisation</w:t>
            </w:r>
          </w:p>
        </w:tc>
        <w:tc>
          <w:tcPr>
            <w:tcW w:w="5985" w:type="dxa"/>
          </w:tcPr>
          <w:p w:rsidR="009E64D0" w:rsidRDefault="00935B29" w:rsidP="00476602">
            <w:pPr>
              <w:rPr>
                <w:lang w:val="en-GB"/>
              </w:rPr>
            </w:pPr>
            <w:commentRangeStart w:id="1"/>
            <w:r>
              <w:rPr>
                <w:lang w:val="en-GB"/>
              </w:rPr>
              <w:t xml:space="preserve">Supported by </w:t>
            </w:r>
            <w:r w:rsidR="00E83FF0">
              <w:rPr>
                <w:lang w:val="en-GB"/>
              </w:rPr>
              <w:t>[</w:t>
            </w:r>
            <w:r>
              <w:rPr>
                <w:lang w:val="en-GB"/>
              </w:rPr>
              <w:t>x</w:t>
            </w:r>
            <w:r w:rsidR="00E83FF0">
              <w:rPr>
                <w:lang w:val="en-GB"/>
              </w:rPr>
              <w:t>]</w:t>
            </w:r>
            <w:r>
              <w:rPr>
                <w:lang w:val="en-GB"/>
              </w:rPr>
              <w:t xml:space="preserve"> administrations</w:t>
            </w:r>
            <w:commentRangeEnd w:id="1"/>
            <w:r w:rsidR="00C02F5B">
              <w:rPr>
                <w:rStyle w:val="Marquedecommentaire"/>
              </w:rPr>
              <w:commentReference w:id="1"/>
            </w:r>
          </w:p>
        </w:tc>
      </w:tr>
      <w:tr w:rsidR="009E64D0" w:rsidTr="0071651C">
        <w:tc>
          <w:tcPr>
            <w:tcW w:w="3227" w:type="dxa"/>
          </w:tcPr>
          <w:p w:rsidR="009E64D0" w:rsidRDefault="009E64D0" w:rsidP="00476602">
            <w:pPr>
              <w:rPr>
                <w:lang w:val="en-GB"/>
              </w:rPr>
            </w:pPr>
            <w:r>
              <w:rPr>
                <w:lang w:val="en-GB"/>
              </w:rPr>
              <w:t>Potential for global harmonisation</w:t>
            </w:r>
          </w:p>
        </w:tc>
        <w:tc>
          <w:tcPr>
            <w:tcW w:w="5985" w:type="dxa"/>
          </w:tcPr>
          <w:p w:rsidR="009E64D0" w:rsidRDefault="00935B29" w:rsidP="00476602">
            <w:pPr>
              <w:rPr>
                <w:lang w:val="en-GB"/>
              </w:rPr>
            </w:pPr>
            <w:r>
              <w:rPr>
                <w:lang w:val="en-GB"/>
              </w:rPr>
              <w:t>[Parts of region 2 and 3]</w:t>
            </w:r>
          </w:p>
        </w:tc>
      </w:tr>
      <w:tr w:rsidR="009E64D0" w:rsidTr="0071651C">
        <w:tc>
          <w:tcPr>
            <w:tcW w:w="3227" w:type="dxa"/>
          </w:tcPr>
          <w:p w:rsidR="009E64D0" w:rsidRDefault="009E64D0" w:rsidP="00476602">
            <w:pPr>
              <w:rPr>
                <w:lang w:val="en-GB"/>
              </w:rPr>
            </w:pPr>
            <w:r>
              <w:rPr>
                <w:lang w:val="en-GB"/>
              </w:rPr>
              <w:t>Size of CEPT market</w:t>
            </w:r>
          </w:p>
        </w:tc>
        <w:tc>
          <w:tcPr>
            <w:tcW w:w="5985" w:type="dxa"/>
          </w:tcPr>
          <w:p w:rsidR="009E64D0" w:rsidRDefault="00935B29" w:rsidP="00476602">
            <w:pPr>
              <w:rPr>
                <w:lang w:val="en-GB"/>
              </w:rPr>
            </w:pPr>
            <w:r>
              <w:rPr>
                <w:lang w:val="en-GB"/>
              </w:rPr>
              <w:t>?</w:t>
            </w:r>
          </w:p>
        </w:tc>
      </w:tr>
      <w:tr w:rsidR="009E64D0" w:rsidTr="0071651C">
        <w:tc>
          <w:tcPr>
            <w:tcW w:w="3227" w:type="dxa"/>
          </w:tcPr>
          <w:p w:rsidR="009E64D0" w:rsidRDefault="009E64D0" w:rsidP="00476602">
            <w:pPr>
              <w:rPr>
                <w:lang w:val="en-GB"/>
              </w:rPr>
            </w:pPr>
            <w:r>
              <w:rPr>
                <w:lang w:val="en-GB"/>
              </w:rPr>
              <w:t>Size of global market</w:t>
            </w:r>
          </w:p>
        </w:tc>
        <w:tc>
          <w:tcPr>
            <w:tcW w:w="5985" w:type="dxa"/>
          </w:tcPr>
          <w:p w:rsidR="009E64D0" w:rsidRDefault="00935B29" w:rsidP="00476602">
            <w:pPr>
              <w:rPr>
                <w:lang w:val="en-GB"/>
              </w:rPr>
            </w:pPr>
            <w:r>
              <w:rPr>
                <w:lang w:val="en-GB"/>
              </w:rPr>
              <w:t>?</w:t>
            </w:r>
          </w:p>
        </w:tc>
      </w:tr>
    </w:tbl>
    <w:p w:rsidR="009E64D0" w:rsidRDefault="009E64D0" w:rsidP="009E64D0">
      <w:pPr>
        <w:rPr>
          <w:lang w:val="en-GB"/>
        </w:rPr>
      </w:pPr>
    </w:p>
    <w:tbl>
      <w:tblPr>
        <w:tblStyle w:val="Grilledutableau"/>
        <w:tblW w:w="0" w:type="auto"/>
        <w:tblLook w:val="04A0" w:firstRow="1" w:lastRow="0" w:firstColumn="1" w:lastColumn="0" w:noHBand="0" w:noVBand="1"/>
      </w:tblPr>
      <w:tblGrid>
        <w:gridCol w:w="3227"/>
        <w:gridCol w:w="5985"/>
      </w:tblGrid>
      <w:tr w:rsidR="009E64D0" w:rsidTr="0071651C">
        <w:tc>
          <w:tcPr>
            <w:tcW w:w="3227" w:type="dxa"/>
          </w:tcPr>
          <w:p w:rsidR="009E64D0" w:rsidRDefault="009E64D0" w:rsidP="00476602">
            <w:pPr>
              <w:rPr>
                <w:lang w:val="en-GB"/>
              </w:rPr>
            </w:pPr>
          </w:p>
        </w:tc>
        <w:tc>
          <w:tcPr>
            <w:tcW w:w="5985" w:type="dxa"/>
          </w:tcPr>
          <w:p w:rsidR="009E64D0" w:rsidRDefault="00935B29" w:rsidP="00476602">
            <w:pPr>
              <w:rPr>
                <w:lang w:val="en-GB"/>
              </w:rPr>
            </w:pPr>
            <w:r>
              <w:rPr>
                <w:lang w:val="en-GB"/>
              </w:rPr>
              <w:t>MMD</w:t>
            </w:r>
          </w:p>
        </w:tc>
      </w:tr>
      <w:tr w:rsidR="00935B29" w:rsidRPr="00C02F5B" w:rsidTr="0071651C">
        <w:tc>
          <w:tcPr>
            <w:tcW w:w="3227" w:type="dxa"/>
          </w:tcPr>
          <w:p w:rsidR="00935B29" w:rsidRDefault="00935B29" w:rsidP="00476602">
            <w:pPr>
              <w:rPr>
                <w:lang w:val="en-GB"/>
              </w:rPr>
            </w:pPr>
            <w:r>
              <w:rPr>
                <w:lang w:val="en-GB"/>
              </w:rPr>
              <w:t>Need for CEPT harmonisation</w:t>
            </w:r>
          </w:p>
        </w:tc>
        <w:tc>
          <w:tcPr>
            <w:tcW w:w="5985" w:type="dxa"/>
          </w:tcPr>
          <w:p w:rsidR="00935B29" w:rsidRDefault="0071651C" w:rsidP="00476602">
            <w:pPr>
              <w:rPr>
                <w:lang w:val="en-GB"/>
              </w:rPr>
            </w:pPr>
            <w:r w:rsidRPr="0071651C">
              <w:rPr>
                <w:rFonts w:cs="Arial"/>
                <w:szCs w:val="20"/>
                <w:lang w:val="en-GB"/>
              </w:rPr>
              <w:t xml:space="preserve">For the success of </w:t>
            </w:r>
            <w:r>
              <w:rPr>
                <w:rFonts w:cs="Arial"/>
                <w:szCs w:val="20"/>
                <w:lang w:val="en-GB"/>
              </w:rPr>
              <w:t>MMDL, it is important that these</w:t>
            </w:r>
            <w:r w:rsidRPr="0071651C">
              <w:rPr>
                <w:rFonts w:cs="Arial"/>
                <w:szCs w:val="20"/>
                <w:lang w:val="en-GB"/>
              </w:rPr>
              <w:t xml:space="preserve"> harmonised technical conditions would be adopted in large geographic area/population in Europe so that economies of scale in consumer devices and infrastructure equipment production can be realised.</w:t>
            </w:r>
          </w:p>
        </w:tc>
      </w:tr>
      <w:tr w:rsidR="00935B29" w:rsidTr="0071651C">
        <w:tc>
          <w:tcPr>
            <w:tcW w:w="3227" w:type="dxa"/>
          </w:tcPr>
          <w:p w:rsidR="00935B29" w:rsidRDefault="00935B29" w:rsidP="00476602">
            <w:pPr>
              <w:rPr>
                <w:lang w:val="en-GB"/>
              </w:rPr>
            </w:pPr>
            <w:r>
              <w:rPr>
                <w:lang w:val="en-GB"/>
              </w:rPr>
              <w:t>Need for global harmonisation</w:t>
            </w:r>
          </w:p>
        </w:tc>
        <w:tc>
          <w:tcPr>
            <w:tcW w:w="5985" w:type="dxa"/>
          </w:tcPr>
          <w:p w:rsidR="00935B29" w:rsidRDefault="00935B29" w:rsidP="00476602">
            <w:pPr>
              <w:rPr>
                <w:lang w:val="en-GB"/>
              </w:rPr>
            </w:pPr>
            <w:r>
              <w:rPr>
                <w:lang w:val="en-GB"/>
              </w:rPr>
              <w:t>No</w:t>
            </w:r>
          </w:p>
        </w:tc>
      </w:tr>
      <w:tr w:rsidR="00935B29" w:rsidTr="0071651C">
        <w:tc>
          <w:tcPr>
            <w:tcW w:w="3227" w:type="dxa"/>
          </w:tcPr>
          <w:p w:rsidR="00935B29" w:rsidRDefault="00935B29" w:rsidP="00476602">
            <w:pPr>
              <w:rPr>
                <w:lang w:val="en-GB"/>
              </w:rPr>
            </w:pPr>
            <w:r>
              <w:rPr>
                <w:lang w:val="en-GB"/>
              </w:rPr>
              <w:t>Potential for CEPT harmonisation</w:t>
            </w:r>
          </w:p>
        </w:tc>
        <w:tc>
          <w:tcPr>
            <w:tcW w:w="5985" w:type="dxa"/>
          </w:tcPr>
          <w:p w:rsidR="00935B29" w:rsidRDefault="00935B29" w:rsidP="00476602">
            <w:pPr>
              <w:rPr>
                <w:lang w:val="en-GB"/>
              </w:rPr>
            </w:pPr>
            <w:r>
              <w:rPr>
                <w:lang w:val="en-GB"/>
              </w:rPr>
              <w:t xml:space="preserve">Supported by </w:t>
            </w:r>
            <w:r w:rsidR="00E83FF0">
              <w:rPr>
                <w:lang w:val="en-GB"/>
              </w:rPr>
              <w:t>[</w:t>
            </w:r>
            <w:r>
              <w:rPr>
                <w:lang w:val="en-GB"/>
              </w:rPr>
              <w:t>x</w:t>
            </w:r>
            <w:r w:rsidR="00E83FF0">
              <w:rPr>
                <w:lang w:val="en-GB"/>
              </w:rPr>
              <w:t>]</w:t>
            </w:r>
            <w:r>
              <w:rPr>
                <w:lang w:val="en-GB"/>
              </w:rPr>
              <w:t xml:space="preserve"> administrations</w:t>
            </w:r>
          </w:p>
        </w:tc>
      </w:tr>
      <w:tr w:rsidR="00935B29" w:rsidRPr="00C02F5B" w:rsidTr="0071651C">
        <w:tc>
          <w:tcPr>
            <w:tcW w:w="3227" w:type="dxa"/>
          </w:tcPr>
          <w:p w:rsidR="00935B29" w:rsidRDefault="00935B29" w:rsidP="00476602">
            <w:pPr>
              <w:rPr>
                <w:lang w:val="en-GB"/>
              </w:rPr>
            </w:pPr>
            <w:r>
              <w:rPr>
                <w:lang w:val="en-GB"/>
              </w:rPr>
              <w:t>Potential for global harmonisation</w:t>
            </w:r>
          </w:p>
        </w:tc>
        <w:tc>
          <w:tcPr>
            <w:tcW w:w="5985" w:type="dxa"/>
          </w:tcPr>
          <w:p w:rsidR="00935B29" w:rsidRDefault="00935B29" w:rsidP="00476602">
            <w:pPr>
              <w:rPr>
                <w:lang w:val="en-GB"/>
              </w:rPr>
            </w:pPr>
            <w:r>
              <w:rPr>
                <w:lang w:val="en-GB"/>
              </w:rPr>
              <w:t>[Parts of region 2 and 3]</w:t>
            </w:r>
          </w:p>
          <w:p w:rsidR="0071651C" w:rsidRPr="0071651C" w:rsidRDefault="0071651C" w:rsidP="00476602">
            <w:pPr>
              <w:rPr>
                <w:lang w:val="en-US"/>
              </w:rPr>
            </w:pPr>
            <w:r w:rsidRPr="0071651C">
              <w:rPr>
                <w:rFonts w:cs="Arial"/>
                <w:szCs w:val="20"/>
                <w:lang w:val="en-US"/>
              </w:rPr>
              <w:t>The allocation of the 1.4 GHz band to broadcasting, and in particular DAB services, has been adopted in numerous countries outside Europe and, as in Europe, DAB services have not been implemented in this band. In addition, some countries globally are currently considering the future use of the 1452-1492 MHz band for mobile broadband to fulfil</w:t>
            </w:r>
            <w:r w:rsidR="00303376">
              <w:rPr>
                <w:rFonts w:cs="Arial"/>
                <w:szCs w:val="20"/>
                <w:lang w:val="en-US"/>
              </w:rPr>
              <w:t>l</w:t>
            </w:r>
            <w:r w:rsidRPr="0071651C">
              <w:rPr>
                <w:rFonts w:cs="Arial"/>
                <w:szCs w:val="20"/>
                <w:lang w:val="en-US"/>
              </w:rPr>
              <w:t xml:space="preserve"> their broadband objectives and looking at Europe current activity.  Hence if a European allocation for supplemental downlink is adopted, there is the potential for this allocation to be taken up in these other countries.</w:t>
            </w:r>
          </w:p>
        </w:tc>
      </w:tr>
      <w:tr w:rsidR="00935B29" w:rsidTr="0071651C">
        <w:tc>
          <w:tcPr>
            <w:tcW w:w="3227" w:type="dxa"/>
          </w:tcPr>
          <w:p w:rsidR="00935B29" w:rsidRDefault="00935B29" w:rsidP="00476602">
            <w:pPr>
              <w:rPr>
                <w:lang w:val="en-GB"/>
              </w:rPr>
            </w:pPr>
            <w:r>
              <w:rPr>
                <w:lang w:val="en-GB"/>
              </w:rPr>
              <w:t>Size of CEPT market</w:t>
            </w:r>
          </w:p>
        </w:tc>
        <w:tc>
          <w:tcPr>
            <w:tcW w:w="5985" w:type="dxa"/>
          </w:tcPr>
          <w:p w:rsidR="00935B29" w:rsidRDefault="0071651C" w:rsidP="00476602">
            <w:pPr>
              <w:rPr>
                <w:lang w:val="en-GB"/>
              </w:rPr>
            </w:pPr>
            <w:r>
              <w:rPr>
                <w:lang w:val="en-GB"/>
              </w:rPr>
              <w:t>[</w:t>
            </w:r>
            <w:r w:rsidR="00935B29">
              <w:rPr>
                <w:lang w:val="en-GB"/>
              </w:rPr>
              <w:t>?</w:t>
            </w:r>
            <w:r>
              <w:rPr>
                <w:lang w:val="en-GB"/>
              </w:rPr>
              <w:t>]</w:t>
            </w:r>
          </w:p>
        </w:tc>
      </w:tr>
      <w:tr w:rsidR="00935B29" w:rsidTr="0071651C">
        <w:tc>
          <w:tcPr>
            <w:tcW w:w="3227" w:type="dxa"/>
          </w:tcPr>
          <w:p w:rsidR="00935B29" w:rsidRDefault="00935B29" w:rsidP="00476602">
            <w:pPr>
              <w:rPr>
                <w:lang w:val="en-GB"/>
              </w:rPr>
            </w:pPr>
            <w:r>
              <w:rPr>
                <w:lang w:val="en-GB"/>
              </w:rPr>
              <w:t>Size of global market</w:t>
            </w:r>
          </w:p>
        </w:tc>
        <w:tc>
          <w:tcPr>
            <w:tcW w:w="5985" w:type="dxa"/>
          </w:tcPr>
          <w:p w:rsidR="00935B29" w:rsidRDefault="0071651C" w:rsidP="00476602">
            <w:pPr>
              <w:rPr>
                <w:lang w:val="en-GB"/>
              </w:rPr>
            </w:pPr>
            <w:r>
              <w:rPr>
                <w:lang w:val="en-GB"/>
              </w:rPr>
              <w:t>[</w:t>
            </w:r>
            <w:r w:rsidR="00935B29">
              <w:rPr>
                <w:lang w:val="en-GB"/>
              </w:rPr>
              <w:t>?</w:t>
            </w:r>
            <w:r>
              <w:rPr>
                <w:lang w:val="en-GB"/>
              </w:rPr>
              <w:t>]</w:t>
            </w:r>
          </w:p>
        </w:tc>
      </w:tr>
    </w:tbl>
    <w:p w:rsidR="009E64D0" w:rsidRDefault="009E64D0" w:rsidP="009E64D0">
      <w:pPr>
        <w:rPr>
          <w:lang w:val="en-GB"/>
        </w:rPr>
      </w:pPr>
    </w:p>
    <w:tbl>
      <w:tblPr>
        <w:tblStyle w:val="Grilledutableau"/>
        <w:tblW w:w="0" w:type="auto"/>
        <w:tblLook w:val="04A0" w:firstRow="1" w:lastRow="0" w:firstColumn="1" w:lastColumn="0" w:noHBand="0" w:noVBand="1"/>
      </w:tblPr>
      <w:tblGrid>
        <w:gridCol w:w="3227"/>
        <w:gridCol w:w="5985"/>
      </w:tblGrid>
      <w:tr w:rsidR="009E64D0" w:rsidTr="0071651C">
        <w:tc>
          <w:tcPr>
            <w:tcW w:w="3227" w:type="dxa"/>
          </w:tcPr>
          <w:p w:rsidR="009E64D0" w:rsidRDefault="009E64D0" w:rsidP="00476602">
            <w:pPr>
              <w:rPr>
                <w:lang w:val="en-GB"/>
              </w:rPr>
            </w:pPr>
          </w:p>
        </w:tc>
        <w:tc>
          <w:tcPr>
            <w:tcW w:w="5985" w:type="dxa"/>
          </w:tcPr>
          <w:p w:rsidR="009E64D0" w:rsidRDefault="00935B29" w:rsidP="00476602">
            <w:pPr>
              <w:rPr>
                <w:lang w:val="en-GB"/>
              </w:rPr>
            </w:pPr>
            <w:r>
              <w:rPr>
                <w:lang w:val="en-GB"/>
              </w:rPr>
              <w:t>Satellite broadcasting</w:t>
            </w:r>
          </w:p>
        </w:tc>
      </w:tr>
      <w:tr w:rsidR="009E64D0" w:rsidTr="0071651C">
        <w:tc>
          <w:tcPr>
            <w:tcW w:w="3227" w:type="dxa"/>
          </w:tcPr>
          <w:p w:rsidR="009E64D0" w:rsidRDefault="009E64D0" w:rsidP="00476602">
            <w:pPr>
              <w:rPr>
                <w:lang w:val="en-GB"/>
              </w:rPr>
            </w:pPr>
            <w:r>
              <w:rPr>
                <w:lang w:val="en-GB"/>
              </w:rPr>
              <w:t>Need for CEPT harmonisation</w:t>
            </w:r>
          </w:p>
        </w:tc>
        <w:tc>
          <w:tcPr>
            <w:tcW w:w="5985" w:type="dxa"/>
          </w:tcPr>
          <w:p w:rsidR="009E64D0" w:rsidRDefault="00935B29" w:rsidP="00476602">
            <w:pPr>
              <w:rPr>
                <w:lang w:val="en-GB"/>
              </w:rPr>
            </w:pPr>
            <w:r>
              <w:rPr>
                <w:lang w:val="en-GB"/>
              </w:rPr>
              <w:t>Yes</w:t>
            </w:r>
          </w:p>
        </w:tc>
      </w:tr>
      <w:tr w:rsidR="009E64D0" w:rsidTr="0071651C">
        <w:tc>
          <w:tcPr>
            <w:tcW w:w="3227" w:type="dxa"/>
          </w:tcPr>
          <w:p w:rsidR="009E64D0" w:rsidRDefault="009E64D0" w:rsidP="00476602">
            <w:pPr>
              <w:rPr>
                <w:lang w:val="en-GB"/>
              </w:rPr>
            </w:pPr>
            <w:r>
              <w:rPr>
                <w:lang w:val="en-GB"/>
              </w:rPr>
              <w:t>Need for global harmonisation</w:t>
            </w:r>
          </w:p>
        </w:tc>
        <w:tc>
          <w:tcPr>
            <w:tcW w:w="5985" w:type="dxa"/>
          </w:tcPr>
          <w:p w:rsidR="009E64D0" w:rsidRDefault="00935B29" w:rsidP="00476602">
            <w:pPr>
              <w:rPr>
                <w:lang w:val="en-GB"/>
              </w:rPr>
            </w:pPr>
            <w:r>
              <w:rPr>
                <w:lang w:val="en-GB"/>
              </w:rPr>
              <w:t>No</w:t>
            </w:r>
          </w:p>
        </w:tc>
      </w:tr>
      <w:tr w:rsidR="009E64D0" w:rsidRPr="00C02F5B" w:rsidTr="0071651C">
        <w:tc>
          <w:tcPr>
            <w:tcW w:w="3227" w:type="dxa"/>
          </w:tcPr>
          <w:p w:rsidR="009E64D0" w:rsidRDefault="009E64D0" w:rsidP="00476602">
            <w:pPr>
              <w:rPr>
                <w:lang w:val="en-GB"/>
              </w:rPr>
            </w:pPr>
            <w:r>
              <w:rPr>
                <w:lang w:val="en-GB"/>
              </w:rPr>
              <w:t>Potential for CEPT harmonisation</w:t>
            </w:r>
          </w:p>
        </w:tc>
        <w:tc>
          <w:tcPr>
            <w:tcW w:w="5985" w:type="dxa"/>
          </w:tcPr>
          <w:p w:rsidR="009E64D0" w:rsidRDefault="00A824A6" w:rsidP="00476602">
            <w:pPr>
              <w:rPr>
                <w:lang w:val="en-GB"/>
              </w:rPr>
            </w:pPr>
            <w:r>
              <w:rPr>
                <w:lang w:val="en-GB"/>
              </w:rPr>
              <w:t>[</w:t>
            </w:r>
            <w:r w:rsidR="00935B29">
              <w:rPr>
                <w:lang w:val="en-GB"/>
              </w:rPr>
              <w:t>Has been harmonised but there has been no implementation</w:t>
            </w:r>
            <w:r w:rsidR="00E83FF0">
              <w:rPr>
                <w:lang w:val="en-GB"/>
              </w:rPr>
              <w:t xml:space="preserve"> </w:t>
            </w:r>
            <w:r w:rsidR="00E83FF0">
              <w:rPr>
                <w:lang w:val="en-GB"/>
              </w:rPr>
              <w:lastRenderedPageBreak/>
              <w:t>yet</w:t>
            </w:r>
            <w:r>
              <w:rPr>
                <w:lang w:val="en-GB"/>
              </w:rPr>
              <w:t>]</w:t>
            </w:r>
          </w:p>
        </w:tc>
      </w:tr>
      <w:tr w:rsidR="009E64D0" w:rsidTr="0071651C">
        <w:tc>
          <w:tcPr>
            <w:tcW w:w="3227" w:type="dxa"/>
          </w:tcPr>
          <w:p w:rsidR="009E64D0" w:rsidRDefault="009E64D0" w:rsidP="00476602">
            <w:pPr>
              <w:rPr>
                <w:lang w:val="en-GB"/>
              </w:rPr>
            </w:pPr>
            <w:r>
              <w:rPr>
                <w:lang w:val="en-GB"/>
              </w:rPr>
              <w:lastRenderedPageBreak/>
              <w:t>Potential for global harmonisation</w:t>
            </w:r>
          </w:p>
        </w:tc>
        <w:tc>
          <w:tcPr>
            <w:tcW w:w="5985" w:type="dxa"/>
          </w:tcPr>
          <w:p w:rsidR="009E64D0" w:rsidRDefault="00935B29" w:rsidP="00476602">
            <w:pPr>
              <w:rPr>
                <w:lang w:val="en-GB"/>
              </w:rPr>
            </w:pPr>
            <w:r>
              <w:rPr>
                <w:lang w:val="en-GB"/>
              </w:rPr>
              <w:t>?</w:t>
            </w:r>
          </w:p>
        </w:tc>
      </w:tr>
      <w:tr w:rsidR="009E64D0" w:rsidTr="0071651C">
        <w:tc>
          <w:tcPr>
            <w:tcW w:w="3227" w:type="dxa"/>
          </w:tcPr>
          <w:p w:rsidR="009E64D0" w:rsidRDefault="009E64D0" w:rsidP="00476602">
            <w:pPr>
              <w:rPr>
                <w:lang w:val="en-GB"/>
              </w:rPr>
            </w:pPr>
            <w:r>
              <w:rPr>
                <w:lang w:val="en-GB"/>
              </w:rPr>
              <w:t>Size of CEPT market</w:t>
            </w:r>
          </w:p>
        </w:tc>
        <w:tc>
          <w:tcPr>
            <w:tcW w:w="5985" w:type="dxa"/>
          </w:tcPr>
          <w:p w:rsidR="009E64D0" w:rsidRDefault="00935B29" w:rsidP="00476602">
            <w:pPr>
              <w:rPr>
                <w:lang w:val="en-GB"/>
              </w:rPr>
            </w:pPr>
            <w:r>
              <w:rPr>
                <w:lang w:val="en-GB"/>
              </w:rPr>
              <w:t>?</w:t>
            </w:r>
          </w:p>
        </w:tc>
      </w:tr>
      <w:tr w:rsidR="009E64D0" w:rsidTr="0071651C">
        <w:tc>
          <w:tcPr>
            <w:tcW w:w="3227" w:type="dxa"/>
          </w:tcPr>
          <w:p w:rsidR="009E64D0" w:rsidRDefault="009E64D0" w:rsidP="00476602">
            <w:pPr>
              <w:rPr>
                <w:lang w:val="en-GB"/>
              </w:rPr>
            </w:pPr>
            <w:r>
              <w:rPr>
                <w:lang w:val="en-GB"/>
              </w:rPr>
              <w:t>Size of global market</w:t>
            </w:r>
          </w:p>
        </w:tc>
        <w:tc>
          <w:tcPr>
            <w:tcW w:w="5985" w:type="dxa"/>
          </w:tcPr>
          <w:p w:rsidR="009E64D0" w:rsidRDefault="00935B29" w:rsidP="00476602">
            <w:pPr>
              <w:rPr>
                <w:lang w:val="en-GB"/>
              </w:rPr>
            </w:pPr>
            <w:r>
              <w:rPr>
                <w:lang w:val="en-GB"/>
              </w:rPr>
              <w:t>?</w:t>
            </w:r>
          </w:p>
        </w:tc>
      </w:tr>
    </w:tbl>
    <w:p w:rsidR="009E64D0" w:rsidRDefault="009E64D0" w:rsidP="009E64D0">
      <w:pPr>
        <w:rPr>
          <w:lang w:val="en-GB"/>
        </w:rPr>
      </w:pPr>
    </w:p>
    <w:tbl>
      <w:tblPr>
        <w:tblStyle w:val="Grilledutableau"/>
        <w:tblW w:w="0" w:type="auto"/>
        <w:tblLook w:val="04A0" w:firstRow="1" w:lastRow="0" w:firstColumn="1" w:lastColumn="0" w:noHBand="0" w:noVBand="1"/>
      </w:tblPr>
      <w:tblGrid>
        <w:gridCol w:w="3227"/>
        <w:gridCol w:w="5985"/>
      </w:tblGrid>
      <w:tr w:rsidR="009E64D0" w:rsidTr="0071651C">
        <w:tc>
          <w:tcPr>
            <w:tcW w:w="3227" w:type="dxa"/>
          </w:tcPr>
          <w:p w:rsidR="009E64D0" w:rsidRDefault="009E64D0" w:rsidP="00476602">
            <w:pPr>
              <w:rPr>
                <w:lang w:val="en-GB"/>
              </w:rPr>
            </w:pPr>
          </w:p>
        </w:tc>
        <w:tc>
          <w:tcPr>
            <w:tcW w:w="5985" w:type="dxa"/>
          </w:tcPr>
          <w:p w:rsidR="009E64D0" w:rsidRDefault="00935B29" w:rsidP="00476602">
            <w:pPr>
              <w:rPr>
                <w:lang w:val="en-GB"/>
              </w:rPr>
            </w:pPr>
            <w:r>
              <w:rPr>
                <w:lang w:val="en-GB"/>
              </w:rPr>
              <w:t>PMSE</w:t>
            </w:r>
          </w:p>
        </w:tc>
      </w:tr>
      <w:tr w:rsidR="009E64D0" w:rsidTr="0071651C">
        <w:tc>
          <w:tcPr>
            <w:tcW w:w="3227" w:type="dxa"/>
          </w:tcPr>
          <w:p w:rsidR="009E64D0" w:rsidRDefault="009E64D0" w:rsidP="00476602">
            <w:pPr>
              <w:rPr>
                <w:lang w:val="en-GB"/>
              </w:rPr>
            </w:pPr>
            <w:r>
              <w:rPr>
                <w:lang w:val="en-GB"/>
              </w:rPr>
              <w:t>Need for CEPT harmonisation</w:t>
            </w:r>
          </w:p>
        </w:tc>
        <w:tc>
          <w:tcPr>
            <w:tcW w:w="5985" w:type="dxa"/>
          </w:tcPr>
          <w:p w:rsidR="009E64D0" w:rsidRDefault="00935B29" w:rsidP="00476602">
            <w:pPr>
              <w:rPr>
                <w:lang w:val="en-GB"/>
              </w:rPr>
            </w:pPr>
            <w:r>
              <w:rPr>
                <w:lang w:val="en-GB"/>
              </w:rPr>
              <w:t>No</w:t>
            </w:r>
          </w:p>
        </w:tc>
      </w:tr>
      <w:tr w:rsidR="009E64D0" w:rsidTr="0071651C">
        <w:tc>
          <w:tcPr>
            <w:tcW w:w="3227" w:type="dxa"/>
          </w:tcPr>
          <w:p w:rsidR="009E64D0" w:rsidRDefault="009E64D0" w:rsidP="00476602">
            <w:pPr>
              <w:rPr>
                <w:lang w:val="en-GB"/>
              </w:rPr>
            </w:pPr>
            <w:r>
              <w:rPr>
                <w:lang w:val="en-GB"/>
              </w:rPr>
              <w:t>Need for global harmonisation</w:t>
            </w:r>
          </w:p>
        </w:tc>
        <w:tc>
          <w:tcPr>
            <w:tcW w:w="5985" w:type="dxa"/>
          </w:tcPr>
          <w:p w:rsidR="009E64D0" w:rsidRDefault="00935B29" w:rsidP="00476602">
            <w:pPr>
              <w:rPr>
                <w:lang w:val="en-GB"/>
              </w:rPr>
            </w:pPr>
            <w:r>
              <w:rPr>
                <w:lang w:val="en-GB"/>
              </w:rPr>
              <w:t>No</w:t>
            </w:r>
          </w:p>
        </w:tc>
      </w:tr>
      <w:tr w:rsidR="009E64D0" w:rsidTr="0071651C">
        <w:tc>
          <w:tcPr>
            <w:tcW w:w="3227" w:type="dxa"/>
          </w:tcPr>
          <w:p w:rsidR="009E64D0" w:rsidRDefault="009E64D0" w:rsidP="00476602">
            <w:pPr>
              <w:rPr>
                <w:lang w:val="en-GB"/>
              </w:rPr>
            </w:pPr>
            <w:r>
              <w:rPr>
                <w:lang w:val="en-GB"/>
              </w:rPr>
              <w:t>Potential for CEPT harmonisation</w:t>
            </w:r>
          </w:p>
        </w:tc>
        <w:tc>
          <w:tcPr>
            <w:tcW w:w="5985" w:type="dxa"/>
          </w:tcPr>
          <w:p w:rsidR="009E64D0" w:rsidRDefault="00E83FF0" w:rsidP="00476602">
            <w:pPr>
              <w:rPr>
                <w:lang w:val="en-GB"/>
              </w:rPr>
            </w:pPr>
            <w:r>
              <w:rPr>
                <w:lang w:val="en-GB"/>
              </w:rPr>
              <w:t>[x]</w:t>
            </w:r>
            <w:r w:rsidR="00935B29">
              <w:rPr>
                <w:lang w:val="en-GB"/>
              </w:rPr>
              <w:t xml:space="preserve"> administrations support PMSE</w:t>
            </w:r>
          </w:p>
        </w:tc>
      </w:tr>
      <w:tr w:rsidR="009E64D0" w:rsidTr="0071651C">
        <w:tc>
          <w:tcPr>
            <w:tcW w:w="3227" w:type="dxa"/>
          </w:tcPr>
          <w:p w:rsidR="009E64D0" w:rsidRDefault="009E64D0" w:rsidP="00476602">
            <w:pPr>
              <w:rPr>
                <w:lang w:val="en-GB"/>
              </w:rPr>
            </w:pPr>
            <w:r>
              <w:rPr>
                <w:lang w:val="en-GB"/>
              </w:rPr>
              <w:t>Potential for global harmonisation</w:t>
            </w:r>
          </w:p>
        </w:tc>
        <w:tc>
          <w:tcPr>
            <w:tcW w:w="5985" w:type="dxa"/>
          </w:tcPr>
          <w:p w:rsidR="009E64D0" w:rsidRDefault="00935B29" w:rsidP="00476602">
            <w:pPr>
              <w:rPr>
                <w:lang w:val="en-GB"/>
              </w:rPr>
            </w:pPr>
            <w:r>
              <w:rPr>
                <w:lang w:val="en-GB"/>
              </w:rPr>
              <w:t>No</w:t>
            </w:r>
          </w:p>
        </w:tc>
      </w:tr>
      <w:tr w:rsidR="009E64D0" w:rsidTr="0071651C">
        <w:tc>
          <w:tcPr>
            <w:tcW w:w="3227" w:type="dxa"/>
          </w:tcPr>
          <w:p w:rsidR="009E64D0" w:rsidRDefault="009E64D0" w:rsidP="00476602">
            <w:pPr>
              <w:rPr>
                <w:lang w:val="en-GB"/>
              </w:rPr>
            </w:pPr>
            <w:r>
              <w:rPr>
                <w:lang w:val="en-GB"/>
              </w:rPr>
              <w:t>Size of CEPT market</w:t>
            </w:r>
          </w:p>
        </w:tc>
        <w:tc>
          <w:tcPr>
            <w:tcW w:w="5985" w:type="dxa"/>
          </w:tcPr>
          <w:p w:rsidR="009E64D0" w:rsidRDefault="00935B29" w:rsidP="00476602">
            <w:pPr>
              <w:rPr>
                <w:lang w:val="en-GB"/>
              </w:rPr>
            </w:pPr>
            <w:r>
              <w:rPr>
                <w:lang w:val="en-GB"/>
              </w:rPr>
              <w:t>?</w:t>
            </w:r>
          </w:p>
        </w:tc>
      </w:tr>
      <w:tr w:rsidR="009E64D0" w:rsidTr="0071651C">
        <w:tc>
          <w:tcPr>
            <w:tcW w:w="3227" w:type="dxa"/>
          </w:tcPr>
          <w:p w:rsidR="009E64D0" w:rsidRDefault="009E64D0" w:rsidP="00476602">
            <w:pPr>
              <w:rPr>
                <w:lang w:val="en-GB"/>
              </w:rPr>
            </w:pPr>
            <w:r>
              <w:rPr>
                <w:lang w:val="en-GB"/>
              </w:rPr>
              <w:t>Size of global market</w:t>
            </w:r>
          </w:p>
        </w:tc>
        <w:tc>
          <w:tcPr>
            <w:tcW w:w="5985" w:type="dxa"/>
          </w:tcPr>
          <w:p w:rsidR="009E64D0" w:rsidRDefault="00935B29" w:rsidP="00476602">
            <w:pPr>
              <w:rPr>
                <w:lang w:val="en-GB"/>
              </w:rPr>
            </w:pPr>
            <w:r>
              <w:rPr>
                <w:lang w:val="en-GB"/>
              </w:rPr>
              <w:t>?</w:t>
            </w:r>
          </w:p>
        </w:tc>
      </w:tr>
    </w:tbl>
    <w:p w:rsidR="009E64D0" w:rsidRDefault="009E64D0" w:rsidP="009E64D0">
      <w:pPr>
        <w:rPr>
          <w:lang w:val="en-GB"/>
        </w:rPr>
      </w:pPr>
    </w:p>
    <w:tbl>
      <w:tblPr>
        <w:tblStyle w:val="Grilledutableau"/>
        <w:tblW w:w="0" w:type="auto"/>
        <w:tblLook w:val="04A0" w:firstRow="1" w:lastRow="0" w:firstColumn="1" w:lastColumn="0" w:noHBand="0" w:noVBand="1"/>
      </w:tblPr>
      <w:tblGrid>
        <w:gridCol w:w="3227"/>
        <w:gridCol w:w="5985"/>
      </w:tblGrid>
      <w:tr w:rsidR="009E64D0" w:rsidTr="0071651C">
        <w:tc>
          <w:tcPr>
            <w:tcW w:w="3227" w:type="dxa"/>
          </w:tcPr>
          <w:p w:rsidR="009E64D0" w:rsidRDefault="009E64D0" w:rsidP="00476602">
            <w:pPr>
              <w:rPr>
                <w:lang w:val="en-GB"/>
              </w:rPr>
            </w:pPr>
          </w:p>
        </w:tc>
        <w:tc>
          <w:tcPr>
            <w:tcW w:w="5985" w:type="dxa"/>
          </w:tcPr>
          <w:p w:rsidR="009E64D0" w:rsidRDefault="00935B29" w:rsidP="00476602">
            <w:pPr>
              <w:rPr>
                <w:lang w:val="en-GB"/>
              </w:rPr>
            </w:pPr>
            <w:r>
              <w:rPr>
                <w:lang w:val="en-GB"/>
              </w:rPr>
              <w:t>PPDR</w:t>
            </w:r>
          </w:p>
        </w:tc>
      </w:tr>
      <w:tr w:rsidR="009E64D0" w:rsidTr="0071651C">
        <w:tc>
          <w:tcPr>
            <w:tcW w:w="3227" w:type="dxa"/>
          </w:tcPr>
          <w:p w:rsidR="009E64D0" w:rsidRDefault="009E64D0" w:rsidP="00476602">
            <w:pPr>
              <w:rPr>
                <w:lang w:val="en-GB"/>
              </w:rPr>
            </w:pPr>
            <w:r>
              <w:rPr>
                <w:lang w:val="en-GB"/>
              </w:rPr>
              <w:t>Need for CEPT harmonisation</w:t>
            </w:r>
          </w:p>
        </w:tc>
        <w:tc>
          <w:tcPr>
            <w:tcW w:w="5985" w:type="dxa"/>
          </w:tcPr>
          <w:p w:rsidR="009E64D0" w:rsidRDefault="00935B29" w:rsidP="00476602">
            <w:pPr>
              <w:rPr>
                <w:lang w:val="en-GB"/>
              </w:rPr>
            </w:pPr>
            <w:r>
              <w:rPr>
                <w:lang w:val="en-GB"/>
              </w:rPr>
              <w:t>No</w:t>
            </w:r>
          </w:p>
        </w:tc>
      </w:tr>
      <w:tr w:rsidR="009E64D0" w:rsidTr="0071651C">
        <w:tc>
          <w:tcPr>
            <w:tcW w:w="3227" w:type="dxa"/>
          </w:tcPr>
          <w:p w:rsidR="009E64D0" w:rsidRDefault="009E64D0" w:rsidP="00476602">
            <w:pPr>
              <w:rPr>
                <w:lang w:val="en-GB"/>
              </w:rPr>
            </w:pPr>
            <w:r>
              <w:rPr>
                <w:lang w:val="en-GB"/>
              </w:rPr>
              <w:t>Need for global harmonisation</w:t>
            </w:r>
          </w:p>
        </w:tc>
        <w:tc>
          <w:tcPr>
            <w:tcW w:w="5985" w:type="dxa"/>
          </w:tcPr>
          <w:p w:rsidR="009E64D0" w:rsidRDefault="00935B29" w:rsidP="00476602">
            <w:pPr>
              <w:rPr>
                <w:lang w:val="en-GB"/>
              </w:rPr>
            </w:pPr>
            <w:r>
              <w:rPr>
                <w:lang w:val="en-GB"/>
              </w:rPr>
              <w:t>No</w:t>
            </w:r>
          </w:p>
        </w:tc>
      </w:tr>
      <w:tr w:rsidR="009E64D0" w:rsidRPr="00C02F5B" w:rsidTr="0071651C">
        <w:tc>
          <w:tcPr>
            <w:tcW w:w="3227" w:type="dxa"/>
          </w:tcPr>
          <w:p w:rsidR="009E64D0" w:rsidRDefault="009E64D0" w:rsidP="00476602">
            <w:pPr>
              <w:rPr>
                <w:lang w:val="en-GB"/>
              </w:rPr>
            </w:pPr>
            <w:r>
              <w:rPr>
                <w:lang w:val="en-GB"/>
              </w:rPr>
              <w:t>Potential for CEPT harmonisation</w:t>
            </w:r>
          </w:p>
        </w:tc>
        <w:tc>
          <w:tcPr>
            <w:tcW w:w="5985" w:type="dxa"/>
          </w:tcPr>
          <w:p w:rsidR="009E64D0" w:rsidRDefault="00E83FF0" w:rsidP="00476602">
            <w:pPr>
              <w:rPr>
                <w:lang w:val="en-GB"/>
              </w:rPr>
            </w:pPr>
            <w:r>
              <w:rPr>
                <w:lang w:val="en-GB"/>
              </w:rPr>
              <w:t>[x]</w:t>
            </w:r>
            <w:r w:rsidR="00935B29">
              <w:rPr>
                <w:lang w:val="en-GB"/>
              </w:rPr>
              <w:t xml:space="preserve"> administrations support </w:t>
            </w:r>
            <w:r>
              <w:rPr>
                <w:lang w:val="en-GB"/>
              </w:rPr>
              <w:t xml:space="preserve">ad hoc </w:t>
            </w:r>
            <w:r w:rsidR="00935B29">
              <w:rPr>
                <w:lang w:val="en-GB"/>
              </w:rPr>
              <w:t>PPDR in the L band</w:t>
            </w:r>
          </w:p>
        </w:tc>
      </w:tr>
      <w:tr w:rsidR="009E64D0" w:rsidTr="0071651C">
        <w:tc>
          <w:tcPr>
            <w:tcW w:w="3227" w:type="dxa"/>
          </w:tcPr>
          <w:p w:rsidR="009E64D0" w:rsidRDefault="009E64D0" w:rsidP="00476602">
            <w:pPr>
              <w:rPr>
                <w:lang w:val="en-GB"/>
              </w:rPr>
            </w:pPr>
            <w:r>
              <w:rPr>
                <w:lang w:val="en-GB"/>
              </w:rPr>
              <w:t>Potential for global harmonisation</w:t>
            </w:r>
          </w:p>
        </w:tc>
        <w:tc>
          <w:tcPr>
            <w:tcW w:w="5985" w:type="dxa"/>
          </w:tcPr>
          <w:p w:rsidR="009E64D0" w:rsidRDefault="00935B29" w:rsidP="00476602">
            <w:pPr>
              <w:rPr>
                <w:lang w:val="en-GB"/>
              </w:rPr>
            </w:pPr>
            <w:r>
              <w:rPr>
                <w:lang w:val="en-GB"/>
              </w:rPr>
              <w:t>No</w:t>
            </w:r>
          </w:p>
        </w:tc>
      </w:tr>
      <w:tr w:rsidR="009E64D0" w:rsidTr="0071651C">
        <w:tc>
          <w:tcPr>
            <w:tcW w:w="3227" w:type="dxa"/>
          </w:tcPr>
          <w:p w:rsidR="009E64D0" w:rsidRDefault="009E64D0" w:rsidP="00476602">
            <w:pPr>
              <w:rPr>
                <w:lang w:val="en-GB"/>
              </w:rPr>
            </w:pPr>
            <w:r>
              <w:rPr>
                <w:lang w:val="en-GB"/>
              </w:rPr>
              <w:t>Size of CEPT market</w:t>
            </w:r>
          </w:p>
        </w:tc>
        <w:tc>
          <w:tcPr>
            <w:tcW w:w="5985" w:type="dxa"/>
          </w:tcPr>
          <w:p w:rsidR="009E64D0" w:rsidRDefault="00935B29" w:rsidP="00476602">
            <w:pPr>
              <w:rPr>
                <w:lang w:val="en-GB"/>
              </w:rPr>
            </w:pPr>
            <w:r>
              <w:rPr>
                <w:lang w:val="en-GB"/>
              </w:rPr>
              <w:t>?</w:t>
            </w:r>
          </w:p>
        </w:tc>
      </w:tr>
      <w:tr w:rsidR="009E64D0" w:rsidTr="0071651C">
        <w:tc>
          <w:tcPr>
            <w:tcW w:w="3227" w:type="dxa"/>
          </w:tcPr>
          <w:p w:rsidR="009E64D0" w:rsidRDefault="009E64D0" w:rsidP="00476602">
            <w:pPr>
              <w:rPr>
                <w:lang w:val="en-GB"/>
              </w:rPr>
            </w:pPr>
            <w:r>
              <w:rPr>
                <w:lang w:val="en-GB"/>
              </w:rPr>
              <w:t>Size of global market</w:t>
            </w:r>
          </w:p>
        </w:tc>
        <w:tc>
          <w:tcPr>
            <w:tcW w:w="5985" w:type="dxa"/>
          </w:tcPr>
          <w:p w:rsidR="009E64D0" w:rsidRDefault="00935B29" w:rsidP="00476602">
            <w:pPr>
              <w:rPr>
                <w:lang w:val="en-GB"/>
              </w:rPr>
            </w:pPr>
            <w:r>
              <w:rPr>
                <w:lang w:val="en-GB"/>
              </w:rPr>
              <w:t>?</w:t>
            </w:r>
          </w:p>
        </w:tc>
      </w:tr>
    </w:tbl>
    <w:p w:rsidR="009E64D0" w:rsidRDefault="009E64D0" w:rsidP="009E64D0">
      <w:pPr>
        <w:rPr>
          <w:lang w:val="en-GB"/>
        </w:rPr>
      </w:pPr>
    </w:p>
    <w:tbl>
      <w:tblPr>
        <w:tblStyle w:val="Grilledutableau"/>
        <w:tblW w:w="0" w:type="auto"/>
        <w:tblLook w:val="04A0" w:firstRow="1" w:lastRow="0" w:firstColumn="1" w:lastColumn="0" w:noHBand="0" w:noVBand="1"/>
      </w:tblPr>
      <w:tblGrid>
        <w:gridCol w:w="3227"/>
        <w:gridCol w:w="5985"/>
      </w:tblGrid>
      <w:tr w:rsidR="009E64D0" w:rsidTr="0071651C">
        <w:tc>
          <w:tcPr>
            <w:tcW w:w="3227" w:type="dxa"/>
          </w:tcPr>
          <w:p w:rsidR="009E64D0" w:rsidRDefault="009E64D0" w:rsidP="00476602">
            <w:pPr>
              <w:rPr>
                <w:lang w:val="en-GB"/>
              </w:rPr>
            </w:pPr>
          </w:p>
        </w:tc>
        <w:tc>
          <w:tcPr>
            <w:tcW w:w="5985" w:type="dxa"/>
          </w:tcPr>
          <w:p w:rsidR="009E64D0" w:rsidRDefault="00935B29" w:rsidP="00476602">
            <w:pPr>
              <w:rPr>
                <w:lang w:val="en-GB"/>
              </w:rPr>
            </w:pPr>
            <w:r>
              <w:rPr>
                <w:lang w:val="en-GB"/>
              </w:rPr>
              <w:t>BDA2GC</w:t>
            </w:r>
          </w:p>
        </w:tc>
      </w:tr>
      <w:tr w:rsidR="009E64D0" w:rsidRPr="00C02F5B" w:rsidTr="0071651C">
        <w:tc>
          <w:tcPr>
            <w:tcW w:w="3227" w:type="dxa"/>
          </w:tcPr>
          <w:p w:rsidR="009E64D0" w:rsidRDefault="009E64D0" w:rsidP="00476602">
            <w:pPr>
              <w:rPr>
                <w:lang w:val="en-GB"/>
              </w:rPr>
            </w:pPr>
            <w:r>
              <w:rPr>
                <w:lang w:val="en-GB"/>
              </w:rPr>
              <w:t>Need for CEPT harmonisation</w:t>
            </w:r>
          </w:p>
        </w:tc>
        <w:tc>
          <w:tcPr>
            <w:tcW w:w="5985" w:type="dxa"/>
          </w:tcPr>
          <w:p w:rsidR="009E64D0" w:rsidRPr="00303376" w:rsidRDefault="00935B29" w:rsidP="00476602">
            <w:pPr>
              <w:rPr>
                <w:lang w:val="en-US"/>
              </w:rPr>
            </w:pPr>
            <w:r>
              <w:rPr>
                <w:lang w:val="en-GB"/>
              </w:rPr>
              <w:t>Yes</w:t>
            </w:r>
            <w:r w:rsidR="00303376">
              <w:rPr>
                <w:lang w:val="en-GB"/>
              </w:rPr>
              <w:t xml:space="preserve">. </w:t>
            </w:r>
            <w:r w:rsidR="00303376" w:rsidRPr="00303376">
              <w:rPr>
                <w:rFonts w:cs="Arial"/>
                <w:szCs w:val="20"/>
                <w:lang w:val="en-US"/>
              </w:rPr>
              <w:t xml:space="preserve">Network investment and deployment costs as well as aircraft equipment are high for BDA2GC, and the associated high technological and financial risks require economies of scale for such a system in the form of pan-European geographic coverage, so that they remain economically viable. In order to achieve a continental-wide coverage, a </w:t>
            </w:r>
            <w:proofErr w:type="spellStart"/>
            <w:r w:rsidR="00303376" w:rsidRPr="00303376">
              <w:rPr>
                <w:rFonts w:cs="Arial"/>
                <w:szCs w:val="20"/>
                <w:lang w:val="en-US"/>
              </w:rPr>
              <w:t>harmonised</w:t>
            </w:r>
            <w:proofErr w:type="spellEnd"/>
            <w:r w:rsidR="00303376" w:rsidRPr="00303376">
              <w:rPr>
                <w:rFonts w:cs="Arial"/>
                <w:szCs w:val="20"/>
                <w:lang w:val="en-US"/>
              </w:rPr>
              <w:t xml:space="preserve"> radio spectrum allocation is essential. In addition, a European </w:t>
            </w:r>
            <w:proofErr w:type="spellStart"/>
            <w:r w:rsidR="00303376" w:rsidRPr="00303376">
              <w:rPr>
                <w:rFonts w:cs="Arial"/>
                <w:szCs w:val="20"/>
                <w:lang w:val="en-US"/>
              </w:rPr>
              <w:t>harmonised</w:t>
            </w:r>
            <w:proofErr w:type="spellEnd"/>
            <w:r w:rsidR="00303376" w:rsidRPr="00303376">
              <w:rPr>
                <w:rFonts w:cs="Arial"/>
                <w:szCs w:val="20"/>
                <w:lang w:val="en-US"/>
              </w:rPr>
              <w:t xml:space="preserve"> </w:t>
            </w:r>
            <w:proofErr w:type="spellStart"/>
            <w:r w:rsidR="00303376" w:rsidRPr="00303376">
              <w:rPr>
                <w:rFonts w:cs="Arial"/>
                <w:szCs w:val="20"/>
                <w:lang w:val="en-US"/>
              </w:rPr>
              <w:t>authorisation</w:t>
            </w:r>
            <w:proofErr w:type="spellEnd"/>
            <w:r w:rsidR="00303376" w:rsidRPr="00303376">
              <w:rPr>
                <w:rFonts w:cs="Arial"/>
                <w:szCs w:val="20"/>
                <w:lang w:val="en-US"/>
              </w:rPr>
              <w:t xml:space="preserve"> is considered necessary to provide the regulatory certainty that network operators and airlines require to invest in a BDA2GC system.</w:t>
            </w:r>
          </w:p>
        </w:tc>
      </w:tr>
      <w:tr w:rsidR="009E64D0" w:rsidRPr="00303376" w:rsidTr="0071651C">
        <w:tc>
          <w:tcPr>
            <w:tcW w:w="3227" w:type="dxa"/>
          </w:tcPr>
          <w:p w:rsidR="009E64D0" w:rsidRDefault="009E64D0" w:rsidP="00476602">
            <w:pPr>
              <w:rPr>
                <w:lang w:val="en-GB"/>
              </w:rPr>
            </w:pPr>
            <w:r>
              <w:rPr>
                <w:lang w:val="en-GB"/>
              </w:rPr>
              <w:t>Need for global harmonisation</w:t>
            </w:r>
          </w:p>
        </w:tc>
        <w:tc>
          <w:tcPr>
            <w:tcW w:w="5985" w:type="dxa"/>
          </w:tcPr>
          <w:p w:rsidR="009E64D0" w:rsidRDefault="00303376" w:rsidP="00476602">
            <w:pPr>
              <w:rPr>
                <w:lang w:val="en-GB"/>
              </w:rPr>
            </w:pPr>
            <w:r>
              <w:rPr>
                <w:lang w:val="en-GB"/>
              </w:rPr>
              <w:t>No</w:t>
            </w:r>
            <w:r w:rsidR="00935B29">
              <w:rPr>
                <w:lang w:val="en-GB"/>
              </w:rPr>
              <w:t>?</w:t>
            </w:r>
          </w:p>
        </w:tc>
      </w:tr>
      <w:tr w:rsidR="009E64D0" w:rsidRPr="00C02F5B" w:rsidTr="0071651C">
        <w:tc>
          <w:tcPr>
            <w:tcW w:w="3227" w:type="dxa"/>
          </w:tcPr>
          <w:p w:rsidR="009E64D0" w:rsidRDefault="009E64D0" w:rsidP="00476602">
            <w:pPr>
              <w:rPr>
                <w:lang w:val="en-GB"/>
              </w:rPr>
            </w:pPr>
            <w:r>
              <w:rPr>
                <w:lang w:val="en-GB"/>
              </w:rPr>
              <w:t>Potential for CEPT harmonisation</w:t>
            </w:r>
          </w:p>
        </w:tc>
        <w:tc>
          <w:tcPr>
            <w:tcW w:w="5985" w:type="dxa"/>
          </w:tcPr>
          <w:p w:rsidR="009E64D0" w:rsidRDefault="00E83FF0" w:rsidP="00476602">
            <w:pPr>
              <w:rPr>
                <w:lang w:val="en-GB"/>
              </w:rPr>
            </w:pPr>
            <w:r>
              <w:rPr>
                <w:lang w:val="en-GB"/>
              </w:rPr>
              <w:t>[x]</w:t>
            </w:r>
            <w:r w:rsidR="00935B29">
              <w:rPr>
                <w:lang w:val="en-GB"/>
              </w:rPr>
              <w:t xml:space="preserve"> administrations support BDA2GC in the L band</w:t>
            </w:r>
          </w:p>
        </w:tc>
      </w:tr>
      <w:tr w:rsidR="009E64D0" w:rsidTr="0071651C">
        <w:tc>
          <w:tcPr>
            <w:tcW w:w="3227" w:type="dxa"/>
          </w:tcPr>
          <w:p w:rsidR="009E64D0" w:rsidRDefault="009E64D0" w:rsidP="00476602">
            <w:pPr>
              <w:rPr>
                <w:lang w:val="en-GB"/>
              </w:rPr>
            </w:pPr>
            <w:r>
              <w:rPr>
                <w:lang w:val="en-GB"/>
              </w:rPr>
              <w:t>Potential for global harmonisation</w:t>
            </w:r>
          </w:p>
        </w:tc>
        <w:tc>
          <w:tcPr>
            <w:tcW w:w="5985" w:type="dxa"/>
          </w:tcPr>
          <w:p w:rsidR="009E64D0" w:rsidRDefault="00935B29" w:rsidP="00476602">
            <w:pPr>
              <w:rPr>
                <w:lang w:val="en-GB"/>
              </w:rPr>
            </w:pPr>
            <w:r>
              <w:rPr>
                <w:lang w:val="en-GB"/>
              </w:rPr>
              <w:t>?</w:t>
            </w:r>
          </w:p>
        </w:tc>
      </w:tr>
      <w:tr w:rsidR="009E64D0" w:rsidRPr="00C02F5B" w:rsidTr="0071651C">
        <w:tc>
          <w:tcPr>
            <w:tcW w:w="3227" w:type="dxa"/>
          </w:tcPr>
          <w:p w:rsidR="009E64D0" w:rsidRDefault="009E64D0" w:rsidP="00476602">
            <w:pPr>
              <w:rPr>
                <w:lang w:val="en-GB"/>
              </w:rPr>
            </w:pPr>
            <w:r>
              <w:rPr>
                <w:lang w:val="en-GB"/>
              </w:rPr>
              <w:t>Size of CEPT market</w:t>
            </w:r>
          </w:p>
        </w:tc>
        <w:tc>
          <w:tcPr>
            <w:tcW w:w="5985" w:type="dxa"/>
          </w:tcPr>
          <w:p w:rsidR="009E64D0" w:rsidRDefault="0052357B" w:rsidP="00476602">
            <w:pPr>
              <w:rPr>
                <w:lang w:val="en-GB"/>
              </w:rPr>
            </w:pPr>
            <w:r>
              <w:rPr>
                <w:lang w:val="en-GB"/>
              </w:rPr>
              <w:t>Few thousand aircrafts</w:t>
            </w:r>
            <w:r w:rsidR="00A824A6">
              <w:rPr>
                <w:lang w:val="en-GB"/>
              </w:rPr>
              <w:t xml:space="preserve"> (estimated at 4500)</w:t>
            </w:r>
            <w:r w:rsidR="00E83FF0">
              <w:rPr>
                <w:lang w:val="en-GB"/>
              </w:rPr>
              <w:t>, few hundred terrestrial stations</w:t>
            </w:r>
          </w:p>
        </w:tc>
      </w:tr>
      <w:tr w:rsidR="009E64D0" w:rsidTr="0071651C">
        <w:tc>
          <w:tcPr>
            <w:tcW w:w="3227" w:type="dxa"/>
          </w:tcPr>
          <w:p w:rsidR="009E64D0" w:rsidRDefault="009E64D0" w:rsidP="00476602">
            <w:pPr>
              <w:rPr>
                <w:lang w:val="en-GB"/>
              </w:rPr>
            </w:pPr>
            <w:r>
              <w:rPr>
                <w:lang w:val="en-GB"/>
              </w:rPr>
              <w:t>Size of global market</w:t>
            </w:r>
          </w:p>
        </w:tc>
        <w:tc>
          <w:tcPr>
            <w:tcW w:w="5985" w:type="dxa"/>
          </w:tcPr>
          <w:p w:rsidR="009E64D0" w:rsidRDefault="0052357B" w:rsidP="00476602">
            <w:pPr>
              <w:rPr>
                <w:lang w:val="en-GB"/>
              </w:rPr>
            </w:pPr>
            <w:r>
              <w:rPr>
                <w:lang w:val="en-GB"/>
              </w:rPr>
              <w:t>?</w:t>
            </w:r>
          </w:p>
        </w:tc>
      </w:tr>
    </w:tbl>
    <w:p w:rsidR="009E64D0" w:rsidRDefault="009E64D0" w:rsidP="009E64D0">
      <w:pPr>
        <w:rPr>
          <w:lang w:val="en-GB"/>
        </w:rPr>
      </w:pPr>
    </w:p>
    <w:sectPr w:rsidR="009E64D0">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DG4" w:date="2012-03-29T15:44:00Z" w:initials="DG4">
    <w:p w:rsidR="00C02F5B" w:rsidRPr="00C02F5B" w:rsidRDefault="00C02F5B" w:rsidP="00C02F5B">
      <w:pPr>
        <w:pStyle w:val="Commentaire"/>
        <w:rPr>
          <w:lang w:val="en-US"/>
        </w:rPr>
      </w:pPr>
      <w:r>
        <w:rPr>
          <w:rStyle w:val="Marquedecommentaire"/>
        </w:rPr>
        <w:annotationRef/>
      </w:r>
      <w:r>
        <w:rPr>
          <w:rStyle w:val="Marquedecommentaire"/>
        </w:rPr>
        <w:annotationRef/>
      </w:r>
      <w:r w:rsidRPr="00C02F5B">
        <w:rPr>
          <w:lang w:val="en-US"/>
        </w:rPr>
        <w:t xml:space="preserve">Comment from Germany valid for all </w:t>
      </w:r>
      <w:proofErr w:type="gramStart"/>
      <w:r w:rsidRPr="00C02F5B">
        <w:rPr>
          <w:lang w:val="en-US"/>
        </w:rPr>
        <w:t>applications :</w:t>
      </w:r>
      <w:proofErr w:type="gramEnd"/>
    </w:p>
    <w:p w:rsidR="00C02F5B" w:rsidRPr="00C02F5B" w:rsidRDefault="00C02F5B" w:rsidP="00C02F5B">
      <w:pPr>
        <w:pStyle w:val="Commentaire"/>
        <w:rPr>
          <w:i/>
          <w:lang w:val="en-US"/>
        </w:rPr>
      </w:pPr>
      <w:r w:rsidRPr="00C02F5B">
        <w:rPr>
          <w:rFonts w:ascii="Arial" w:hAnsi="Arial" w:cs="Arial"/>
          <w:i/>
          <w:color w:val="000000"/>
          <w:lang w:val="en"/>
        </w:rPr>
        <w:t xml:space="preserve">Regarding the proposal to count supporting administrations within the sub-criterion “Potential for CEPT </w:t>
      </w:r>
      <w:proofErr w:type="spellStart"/>
      <w:r w:rsidRPr="00C02F5B">
        <w:rPr>
          <w:rFonts w:ascii="Arial" w:hAnsi="Arial" w:cs="Arial"/>
          <w:i/>
          <w:color w:val="000000"/>
          <w:lang w:val="en"/>
        </w:rPr>
        <w:t>harmonisation</w:t>
      </w:r>
      <w:proofErr w:type="spellEnd"/>
      <w:r w:rsidRPr="00C02F5B">
        <w:rPr>
          <w:rFonts w:ascii="Arial" w:hAnsi="Arial" w:cs="Arial"/>
          <w:i/>
          <w:color w:val="000000"/>
          <w:lang w:val="en"/>
        </w:rPr>
        <w:t>” please let me underline, that this is the first time that ECC carried out an Impact Assessment and decided NOT to take the usual approach to ask for supporting administrations. If we would now choose the “counting”-approach in FM 50, we negate the value of an IA compared to the “counting”-approach. Moreover, the message to the public would be: the IA-approach is only time- and resources consuming without leading to another result.</w:t>
      </w:r>
    </w:p>
    <w:p w:rsidR="00C02F5B" w:rsidRPr="00C02F5B" w:rsidRDefault="00C02F5B">
      <w:pPr>
        <w:pStyle w:val="Commentaire"/>
        <w:rPr>
          <w:lang w:val="en-US"/>
        </w:rPr>
      </w:pP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A97B5D"/>
    <w:multiLevelType w:val="hybridMultilevel"/>
    <w:tmpl w:val="30ACA2DC"/>
    <w:lvl w:ilvl="0" w:tplc="0F64B82E">
      <w:start w:val="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4D0"/>
    <w:rsid w:val="00214607"/>
    <w:rsid w:val="00276626"/>
    <w:rsid w:val="00303376"/>
    <w:rsid w:val="004066C8"/>
    <w:rsid w:val="0052357B"/>
    <w:rsid w:val="0071651C"/>
    <w:rsid w:val="007C4032"/>
    <w:rsid w:val="00803214"/>
    <w:rsid w:val="00895426"/>
    <w:rsid w:val="00935B29"/>
    <w:rsid w:val="009E64D0"/>
    <w:rsid w:val="00A824A6"/>
    <w:rsid w:val="00BC6879"/>
    <w:rsid w:val="00C02F5B"/>
    <w:rsid w:val="00C30DF8"/>
    <w:rsid w:val="00E83F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E64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C02F5B"/>
    <w:rPr>
      <w:sz w:val="16"/>
      <w:szCs w:val="16"/>
    </w:rPr>
  </w:style>
  <w:style w:type="paragraph" w:styleId="Commentaire">
    <w:name w:val="annotation text"/>
    <w:basedOn w:val="Normal"/>
    <w:link w:val="CommentaireCar"/>
    <w:uiPriority w:val="99"/>
    <w:semiHidden/>
    <w:unhideWhenUsed/>
    <w:rsid w:val="00C02F5B"/>
    <w:pPr>
      <w:spacing w:line="240" w:lineRule="auto"/>
    </w:pPr>
    <w:rPr>
      <w:sz w:val="20"/>
      <w:szCs w:val="20"/>
    </w:rPr>
  </w:style>
  <w:style w:type="character" w:customStyle="1" w:styleId="CommentaireCar">
    <w:name w:val="Commentaire Car"/>
    <w:basedOn w:val="Policepardfaut"/>
    <w:link w:val="Commentaire"/>
    <w:uiPriority w:val="99"/>
    <w:semiHidden/>
    <w:rsid w:val="00C02F5B"/>
    <w:rPr>
      <w:sz w:val="20"/>
      <w:szCs w:val="20"/>
    </w:rPr>
  </w:style>
  <w:style w:type="paragraph" w:styleId="Objetducommentaire">
    <w:name w:val="annotation subject"/>
    <w:basedOn w:val="Commentaire"/>
    <w:next w:val="Commentaire"/>
    <w:link w:val="ObjetducommentaireCar"/>
    <w:uiPriority w:val="99"/>
    <w:semiHidden/>
    <w:unhideWhenUsed/>
    <w:rsid w:val="00C02F5B"/>
    <w:rPr>
      <w:b/>
      <w:bCs/>
    </w:rPr>
  </w:style>
  <w:style w:type="character" w:customStyle="1" w:styleId="ObjetducommentaireCar">
    <w:name w:val="Objet du commentaire Car"/>
    <w:basedOn w:val="CommentaireCar"/>
    <w:link w:val="Objetducommentaire"/>
    <w:uiPriority w:val="99"/>
    <w:semiHidden/>
    <w:rsid w:val="00C02F5B"/>
    <w:rPr>
      <w:b/>
      <w:bCs/>
      <w:sz w:val="20"/>
      <w:szCs w:val="20"/>
    </w:rPr>
  </w:style>
  <w:style w:type="paragraph" w:styleId="Textedebulles">
    <w:name w:val="Balloon Text"/>
    <w:basedOn w:val="Normal"/>
    <w:link w:val="TextedebullesCar"/>
    <w:uiPriority w:val="99"/>
    <w:semiHidden/>
    <w:unhideWhenUsed/>
    <w:rsid w:val="00C02F5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02F5B"/>
    <w:rPr>
      <w:rFonts w:ascii="Tahoma" w:hAnsi="Tahoma" w:cs="Tahoma"/>
      <w:sz w:val="16"/>
      <w:szCs w:val="16"/>
    </w:rPr>
  </w:style>
  <w:style w:type="paragraph" w:styleId="Paragraphedeliste">
    <w:name w:val="List Paragraph"/>
    <w:basedOn w:val="Normal"/>
    <w:uiPriority w:val="34"/>
    <w:qFormat/>
    <w:rsid w:val="00BC68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E64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C02F5B"/>
    <w:rPr>
      <w:sz w:val="16"/>
      <w:szCs w:val="16"/>
    </w:rPr>
  </w:style>
  <w:style w:type="paragraph" w:styleId="Commentaire">
    <w:name w:val="annotation text"/>
    <w:basedOn w:val="Normal"/>
    <w:link w:val="CommentaireCar"/>
    <w:uiPriority w:val="99"/>
    <w:semiHidden/>
    <w:unhideWhenUsed/>
    <w:rsid w:val="00C02F5B"/>
    <w:pPr>
      <w:spacing w:line="240" w:lineRule="auto"/>
    </w:pPr>
    <w:rPr>
      <w:sz w:val="20"/>
      <w:szCs w:val="20"/>
    </w:rPr>
  </w:style>
  <w:style w:type="character" w:customStyle="1" w:styleId="CommentaireCar">
    <w:name w:val="Commentaire Car"/>
    <w:basedOn w:val="Policepardfaut"/>
    <w:link w:val="Commentaire"/>
    <w:uiPriority w:val="99"/>
    <w:semiHidden/>
    <w:rsid w:val="00C02F5B"/>
    <w:rPr>
      <w:sz w:val="20"/>
      <w:szCs w:val="20"/>
    </w:rPr>
  </w:style>
  <w:style w:type="paragraph" w:styleId="Objetducommentaire">
    <w:name w:val="annotation subject"/>
    <w:basedOn w:val="Commentaire"/>
    <w:next w:val="Commentaire"/>
    <w:link w:val="ObjetducommentaireCar"/>
    <w:uiPriority w:val="99"/>
    <w:semiHidden/>
    <w:unhideWhenUsed/>
    <w:rsid w:val="00C02F5B"/>
    <w:rPr>
      <w:b/>
      <w:bCs/>
    </w:rPr>
  </w:style>
  <w:style w:type="character" w:customStyle="1" w:styleId="ObjetducommentaireCar">
    <w:name w:val="Objet du commentaire Car"/>
    <w:basedOn w:val="CommentaireCar"/>
    <w:link w:val="Objetducommentaire"/>
    <w:uiPriority w:val="99"/>
    <w:semiHidden/>
    <w:rsid w:val="00C02F5B"/>
    <w:rPr>
      <w:b/>
      <w:bCs/>
      <w:sz w:val="20"/>
      <w:szCs w:val="20"/>
    </w:rPr>
  </w:style>
  <w:style w:type="paragraph" w:styleId="Textedebulles">
    <w:name w:val="Balloon Text"/>
    <w:basedOn w:val="Normal"/>
    <w:link w:val="TextedebullesCar"/>
    <w:uiPriority w:val="99"/>
    <w:semiHidden/>
    <w:unhideWhenUsed/>
    <w:rsid w:val="00C02F5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02F5B"/>
    <w:rPr>
      <w:rFonts w:ascii="Tahoma" w:hAnsi="Tahoma" w:cs="Tahoma"/>
      <w:sz w:val="16"/>
      <w:szCs w:val="16"/>
    </w:rPr>
  </w:style>
  <w:style w:type="paragraph" w:styleId="Paragraphedeliste">
    <w:name w:val="List Paragraph"/>
    <w:basedOn w:val="Normal"/>
    <w:uiPriority w:val="34"/>
    <w:qFormat/>
    <w:rsid w:val="00BC68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15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1003</Words>
  <Characters>5518</Characters>
  <Application>Microsoft Office Word</Application>
  <DocSecurity>0</DocSecurity>
  <Lines>45</Lines>
  <Paragraphs>13</Paragraphs>
  <ScaleCrop>false</ScaleCrop>
  <HeadingPairs>
    <vt:vector size="2" baseType="variant">
      <vt:variant>
        <vt:lpstr>Titre</vt:lpstr>
      </vt:variant>
      <vt:variant>
        <vt:i4>1</vt:i4>
      </vt:variant>
    </vt:vector>
  </HeadingPairs>
  <TitlesOfParts>
    <vt:vector size="1" baseType="lpstr">
      <vt:lpstr/>
    </vt:vector>
  </TitlesOfParts>
  <Company>ANFR</Company>
  <LinksUpToDate>false</LinksUpToDate>
  <CharactersWithSpaces>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ANFR</dc:creator>
  <cp:lastModifiedBy>DG4</cp:lastModifiedBy>
  <cp:revision>4</cp:revision>
  <dcterms:created xsi:type="dcterms:W3CDTF">2012-03-29T13:37:00Z</dcterms:created>
  <dcterms:modified xsi:type="dcterms:W3CDTF">2012-03-29T14:00:00Z</dcterms:modified>
</cp:coreProperties>
</file>